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</w:t>
      </w: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 1</w:t>
      </w:r>
      <w:r w:rsidRPr="004D01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4D01A5" w:rsidRPr="004D01A5" w:rsidRDefault="004D01A5" w:rsidP="004D01A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akreditovaných študijných programov k 31. 10. 2011</w:t>
      </w:r>
    </w:p>
    <w:tbl>
      <w:tblPr>
        <w:tblW w:w="610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00"/>
        <w:gridCol w:w="760"/>
        <w:gridCol w:w="720"/>
        <w:gridCol w:w="760"/>
        <w:gridCol w:w="2101"/>
      </w:tblGrid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Fakulta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FHV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FPVMV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PrF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1. 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 st.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3. 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Percentuálny pomer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 1.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41,81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 2.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41,47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 3. 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16,72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Vysvetlivky: HK - Habilitačné konanie a konanie na vymenúvanie za profesorov</w:t>
            </w:r>
          </w:p>
        </w:tc>
      </w:tr>
      <w:tr w:rsidR="004D01A5" w:rsidRPr="004D01A5" w:rsidTr="004D01A5">
        <w:trPr>
          <w:trHeight w:hRule="exact" w:val="31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HK*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before="120"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0"/>
          <w:szCs w:val="24"/>
          <w:lang w:eastAsia="sk-SK"/>
        </w:rPr>
        <w:t>Počet žiadostí o habilitačné a inauguračné konanie (16) k celkovému počtu ŠP (299) =</w:t>
      </w:r>
      <w:r w:rsidRPr="004D01A5">
        <w:rPr>
          <w:rFonts w:ascii="Times New Roman" w:eastAsia="Times New Roman" w:hAnsi="Times New Roman" w:cs="Times New Roman"/>
          <w:b/>
          <w:bCs/>
          <w:sz w:val="20"/>
          <w:szCs w:val="24"/>
          <w:lang w:eastAsia="sk-SK"/>
        </w:rPr>
        <w:t xml:space="preserve"> 5,35 %</w:t>
      </w: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2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študijných odborov v dennej a externej forme štúdia</w:t>
      </w: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620"/>
        <w:gridCol w:w="960"/>
        <w:gridCol w:w="880"/>
        <w:gridCol w:w="860"/>
        <w:gridCol w:w="918"/>
      </w:tblGrid>
      <w:tr w:rsidR="004D01A5" w:rsidRPr="004D01A5" w:rsidTr="004D01A5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1. stupeň – bakalárske štúdium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D01A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sk-SK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51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P.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č.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Názov študijného odboru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študijných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programov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Dĺžka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Fakulta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denná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forma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externá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forma</w:t>
            </w: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Verejná správa a regionálny rozvoj a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Financie, bankovníctvo a investovanie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Ekonomika a manažment podniku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Verejná ekonomika a 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Cestovný 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Filozofia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3 roky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História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Muzeológia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Cudzie jazyky a kultúry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Slovenský jazyk a literatúra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Medziodborové štúdium v kombinácii  študijného odboru Slovenský jazyk a literatúra a Prekladateľstvo a tlmočníctvo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34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Učiteľstvo akademických predmetov (UAP)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FHV,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FPV, 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Učiteľstvo umelecko-výchovných a výchovných predmetov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(UUVVP)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FHV,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Prekladateľstvo a tlmočníctvo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63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Medzinárodné vzťahy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Politológia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6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Verejná politika a verejná správa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Chémia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Geológia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3 roky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Environmentálny manažment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Synekológia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Bezpečnosť a ochrana zdravia pri práci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3 roky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Aplikovaná informatika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Učiteľstvo profesijných predmetov a praktickej prípravy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(UPPPP)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FPV </w:t>
            </w:r>
          </w:p>
        </w:tc>
      </w:tr>
      <w:tr w:rsidR="004D01A5" w:rsidRPr="004D01A5" w:rsidTr="004D01A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Pedagogika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Predškolská a elementárna pedagogika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Andragogika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3 roky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Teológia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Výtvarné umenie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1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Hudobné umenie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Psychológia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Sociálna práca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Právo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PrF</w:t>
            </w:r>
          </w:p>
        </w:tc>
      </w:tr>
      <w:tr w:rsidR="004D01A5" w:rsidRPr="004D01A5" w:rsidTr="004D01A5">
        <w:trPr>
          <w:trHeight w:val="270"/>
        </w:trPr>
        <w:tc>
          <w:tcPr>
            <w:tcW w:w="6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lastRenderedPageBreak/>
              <w:t>SPOLU študijných programov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52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125</w:t>
            </w:r>
          </w:p>
        </w:tc>
      </w:tr>
      <w:tr w:rsidR="004D01A5" w:rsidRPr="004D01A5" w:rsidTr="004D01A5">
        <w:trPr>
          <w:trHeight w:val="270"/>
        </w:trPr>
        <w:tc>
          <w:tcPr>
            <w:tcW w:w="6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SPOLU študijných odborov </w:t>
            </w:r>
          </w:p>
        </w:tc>
        <w:tc>
          <w:tcPr>
            <w:tcW w:w="36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37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451"/>
        <w:gridCol w:w="893"/>
        <w:gridCol w:w="785"/>
        <w:gridCol w:w="872"/>
        <w:gridCol w:w="1184"/>
      </w:tblGrid>
      <w:tr w:rsidR="004D01A5" w:rsidRPr="004D01A5" w:rsidTr="004D01A5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2. stupeň – magisterské/inžinierske štúdium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sk-SK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D01A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510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P.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č.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Názov študijného odboru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študijných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programov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Dĺžka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štúdia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Fakulta</w:t>
            </w:r>
          </w:p>
        </w:tc>
      </w:tr>
      <w:tr w:rsidR="004D01A5" w:rsidRPr="004D01A5" w:rsidTr="004D01A5">
        <w:trPr>
          <w:trHeight w:val="647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denná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forma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externá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forma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Cestovný ruch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Ekonomika a manažment podniku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Verejná ekonomika a služby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Financie, bankovníctvo a investovanie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Filozofia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Etika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História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Cudzie jazyky a kultúry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10.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Medziodborové štúdium v kombinácii  študijného odboru Slovenský jazyk a literatúra a Prekladateľstvo a tlmočníctvo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Medziodborové štúdium v kombinácii  študijného odboru Učiteľstvo umelecko-výchovných a výchovných predmetov a študijného odboru Šport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Slovenský jazyk a literatúra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78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13.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Učiteľstvo akademických predmetov (UAP)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8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3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FHV,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 xml:space="preserve">FPV,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PF</w:t>
            </w:r>
          </w:p>
        </w:tc>
      </w:tr>
      <w:tr w:rsidR="004D01A5" w:rsidRPr="004D01A5" w:rsidTr="004D01A5">
        <w:trPr>
          <w:trHeight w:val="52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Učiteľstvo umelecko-výchovných a výchovných predmetov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FHV,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PF</w:t>
            </w:r>
          </w:p>
        </w:tc>
      </w:tr>
      <w:tr w:rsidR="004D01A5" w:rsidRPr="004D01A5" w:rsidTr="004D01A5">
        <w:trPr>
          <w:trHeight w:val="273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Prekladateľstvo a tlmočníctvo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5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16.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Medzinárodné vzťahy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5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17.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Politológia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5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18.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Chémia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19.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Synekológia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4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20.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Aplikovaná informatika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Učiteľstvo profesijných predmetov a praktickej prípravy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2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Pedagogika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19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Predškolská a elementárna pedagogika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25.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Andragogika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26.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Teológia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27.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Sociálna práca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28.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Právo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2 roky, 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PrF</w:t>
            </w:r>
          </w:p>
        </w:tc>
      </w:tr>
      <w:tr w:rsidR="004D01A5" w:rsidRPr="004D01A5" w:rsidTr="004D01A5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SPOLU študijných programov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124</w:t>
            </w:r>
          </w:p>
        </w:tc>
      </w:tr>
      <w:tr w:rsidR="004D01A5" w:rsidRPr="004D01A5" w:rsidTr="004D01A5">
        <w:trPr>
          <w:trHeight w:val="27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SPOLU študijných odborov 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28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631"/>
        <w:gridCol w:w="1360"/>
        <w:gridCol w:w="1400"/>
        <w:gridCol w:w="1689"/>
        <w:gridCol w:w="1265"/>
      </w:tblGrid>
      <w:tr w:rsidR="004D01A5" w:rsidRPr="004D01A5" w:rsidTr="004D01A5">
        <w:trPr>
          <w:trHeight w:val="255"/>
        </w:trPr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lastRenderedPageBreak/>
              <w:t>3. stupeň – doktorandské štúdium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sk-SK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D01A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P. </w:t>
            </w: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br/>
              <w:t>č.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Názov študijného odboru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Počet študijných programov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Dĺžka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štúdia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Fakulta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denná formy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externá forma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Ekonomika a manažment podniku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Verejná ekonomika a služby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Cestovný ruch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</w:tr>
      <w:tr w:rsidR="004D01A5" w:rsidRPr="004D01A5" w:rsidTr="004D01A5">
        <w:trPr>
          <w:trHeight w:val="48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Odborová didaktika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FHV, </w:t>
            </w: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br/>
              <w:t>PF</w:t>
            </w:r>
          </w:p>
        </w:tc>
      </w:tr>
      <w:tr w:rsidR="004D01A5" w:rsidRPr="004D01A5" w:rsidTr="004D01A5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Systematická filozofia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Etika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Slovenské dejiny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Slovenský jazyk a literatúra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4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Neslovanské jazyky a literatúry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10.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Cudzie jazyky a kultúry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Všeobecná jazykoveda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12.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Športová edukológia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13.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Športová humanistika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</w:tr>
      <w:tr w:rsidR="004D01A5" w:rsidRPr="004D01A5" w:rsidTr="004D01A5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14.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Medzinárodné vzťahy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Teória politiky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FPVaMV</w:t>
            </w:r>
          </w:p>
        </w:tc>
      </w:tr>
      <w:tr w:rsidR="004D01A5" w:rsidRPr="004D01A5" w:rsidTr="004D01A5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16.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Environmentálny manažment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17.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Teória vyučovania matematiky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18.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Pravdepodobnosť a matematická štatistika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19.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Matematická analýza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</w:tr>
      <w:tr w:rsidR="004D01A5" w:rsidRPr="004D01A5" w:rsidTr="004D01A5">
        <w:trPr>
          <w:trHeight w:val="2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Pedagogika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Predškolská a elementárna pedagogika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Andragogika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Teológia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 roky, 5 rokov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</w:tr>
      <w:tr w:rsidR="004D01A5" w:rsidRPr="004D01A5" w:rsidTr="004D01A5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D01A5" w:rsidRPr="004D01A5" w:rsidTr="004D01A5">
        <w:trPr>
          <w:trHeight w:val="315"/>
        </w:trPr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SPOLU študijných programov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50</w:t>
            </w:r>
          </w:p>
        </w:tc>
      </w:tr>
      <w:tr w:rsidR="004D01A5" w:rsidRPr="004D01A5" w:rsidTr="004D01A5">
        <w:trPr>
          <w:trHeight w:val="300"/>
        </w:trPr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SPOLU študijných odborov </w:t>
            </w:r>
          </w:p>
        </w:tc>
        <w:tc>
          <w:tcPr>
            <w:tcW w:w="57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23</w:t>
            </w:r>
          </w:p>
        </w:tc>
      </w:tr>
    </w:tbl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Príloha 3 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Študijné programy, o ktoré je najvyšší záujem zo strany uchádzačov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4678"/>
        <w:gridCol w:w="850"/>
        <w:gridCol w:w="851"/>
        <w:gridCol w:w="1275"/>
      </w:tblGrid>
      <w:tr w:rsidR="004D01A5" w:rsidRPr="004D01A5" w:rsidTr="004D01A5">
        <w:trPr>
          <w:trHeight w:val="26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P. č.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Fakulta</w:t>
            </w:r>
          </w:p>
        </w:tc>
        <w:tc>
          <w:tcPr>
            <w:tcW w:w="4678" w:type="dxa"/>
            <w:shd w:val="clear" w:color="auto" w:fill="FFCC99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Študijný program</w:t>
            </w:r>
          </w:p>
        </w:tc>
        <w:tc>
          <w:tcPr>
            <w:tcW w:w="850" w:type="dxa"/>
            <w:shd w:val="clear" w:color="auto" w:fill="FFCC99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Stupeň štúdia</w:t>
            </w:r>
          </w:p>
        </w:tc>
        <w:tc>
          <w:tcPr>
            <w:tcW w:w="851" w:type="dxa"/>
            <w:shd w:val="clear" w:color="auto" w:fill="FFCC99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Forma štúdia</w:t>
            </w:r>
          </w:p>
        </w:tc>
        <w:tc>
          <w:tcPr>
            <w:tcW w:w="1275" w:type="dxa"/>
            <w:shd w:val="clear" w:color="auto" w:fill="FFCC99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Záujem o štúdium*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Ekonomika a manažment podniku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4,75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Cestovný ruch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denná 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3,79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Financie, bankovníctvo a investovanie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3,94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Anglický jazyk a kultúra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externá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2,95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3,00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Šport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externá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1,85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FHV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Európske kultúrne štúdia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4,94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FPVaMV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Medzinárodné vzťahy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4,9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FPVaMV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Politológia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2,9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FPVaMV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Medzinárodné vzťahy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4,6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11.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Učiteľstvo praktickej prípravy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1,25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12.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FPV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Kultúra a bezpečnosť práce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1,32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13.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Predškolská a elementárna pedagogika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4,57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14.</w:t>
            </w:r>
          </w:p>
        </w:tc>
        <w:tc>
          <w:tcPr>
            <w:tcW w:w="992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Psychológia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9,23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Sociálna práca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2,78</w:t>
            </w:r>
          </w:p>
        </w:tc>
      </w:tr>
      <w:tr w:rsidR="004D01A5" w:rsidRPr="004D01A5" w:rsidTr="004D01A5">
        <w:trPr>
          <w:trHeight w:val="262"/>
        </w:trPr>
        <w:tc>
          <w:tcPr>
            <w:tcW w:w="534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16.</w:t>
            </w:r>
          </w:p>
        </w:tc>
        <w:tc>
          <w:tcPr>
            <w:tcW w:w="992" w:type="dxa"/>
            <w:shd w:val="clear" w:color="auto" w:fill="FFFF99"/>
          </w:tcPr>
          <w:p w:rsidR="004D01A5" w:rsidRPr="004D01A5" w:rsidRDefault="004D01A5" w:rsidP="004D01A5">
            <w:pPr>
              <w:spacing w:before="120" w:after="0" w:line="23" w:lineRule="atLeast"/>
              <w:ind w:left="-12" w:firstLine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PrF</w:t>
            </w:r>
          </w:p>
        </w:tc>
        <w:tc>
          <w:tcPr>
            <w:tcW w:w="4678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Právo </w:t>
            </w:r>
          </w:p>
        </w:tc>
        <w:tc>
          <w:tcPr>
            <w:tcW w:w="850" w:type="dxa"/>
          </w:tcPr>
          <w:p w:rsidR="004D01A5" w:rsidRPr="004D01A5" w:rsidRDefault="004D01A5" w:rsidP="004D01A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851" w:type="dxa"/>
          </w:tcPr>
          <w:p w:rsidR="004D01A5" w:rsidRPr="004D01A5" w:rsidRDefault="004D01A5" w:rsidP="004D01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denná</w:t>
            </w:r>
          </w:p>
        </w:tc>
        <w:tc>
          <w:tcPr>
            <w:tcW w:w="1275" w:type="dxa"/>
          </w:tcPr>
          <w:p w:rsidR="004D01A5" w:rsidRPr="004D01A5" w:rsidRDefault="004D01A5" w:rsidP="004D01A5">
            <w:pPr>
              <w:spacing w:after="0" w:line="23" w:lineRule="atLeast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4,26</w:t>
            </w:r>
          </w:p>
        </w:tc>
      </w:tr>
      <w:tr w:rsidR="004D01A5" w:rsidRPr="004D01A5" w:rsidTr="004D01A5">
        <w:trPr>
          <w:trHeight w:val="262"/>
        </w:trPr>
        <w:tc>
          <w:tcPr>
            <w:tcW w:w="6204" w:type="dxa"/>
            <w:gridSpan w:val="3"/>
            <w:shd w:val="clear" w:color="auto" w:fill="CCFFFF"/>
          </w:tcPr>
          <w:p w:rsidR="004D01A5" w:rsidRPr="004D01A5" w:rsidRDefault="004D01A5" w:rsidP="004D01A5">
            <w:pPr>
              <w:spacing w:after="0" w:line="23" w:lineRule="atLeast"/>
              <w:ind w:firstLine="3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2976" w:type="dxa"/>
            <w:gridSpan w:val="3"/>
            <w:shd w:val="clear" w:color="auto" w:fill="CCFFFF"/>
          </w:tcPr>
          <w:p w:rsidR="004D01A5" w:rsidRPr="004D01A5" w:rsidRDefault="004D01A5" w:rsidP="004D01A5">
            <w:pPr>
              <w:spacing w:after="0" w:line="23" w:lineRule="atLeast"/>
              <w:ind w:firstLine="3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16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Poznámka: * Záujem o štúdium študijného programu =  podiel počtu uchádzačov a počtu zapísaných študentov k 31. 10. 2011. 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before="120" w:after="0" w:line="23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4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študentov k 31. 10. 2012</w:t>
      </w:r>
    </w:p>
    <w:tbl>
      <w:tblPr>
        <w:tblW w:w="948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21"/>
        <w:gridCol w:w="760"/>
        <w:gridCol w:w="760"/>
        <w:gridCol w:w="880"/>
        <w:gridCol w:w="400"/>
        <w:gridCol w:w="1007"/>
        <w:gridCol w:w="921"/>
        <w:gridCol w:w="760"/>
        <w:gridCol w:w="840"/>
        <w:gridCol w:w="820"/>
      </w:tblGrid>
      <w:tr w:rsidR="004D01A5" w:rsidRPr="004D01A5" w:rsidTr="004D01A5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Fakulta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Stupeň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Fakulta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Stupeň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EF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FPV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716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1017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1431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648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58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2888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1723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FHV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1942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PF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1308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708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1061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956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83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2347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FPVMV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PrF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686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594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0</w:t>
            </w:r>
          </w:p>
        </w:tc>
      </w:tr>
      <w:tr w:rsidR="004D01A5" w:rsidRPr="004D01A5" w:rsidTr="004D01A5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809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1280</w:t>
            </w:r>
          </w:p>
        </w:tc>
      </w:tr>
      <w:tr w:rsidR="004D01A5" w:rsidRPr="004D01A5" w:rsidTr="004D01A5">
        <w:trPr>
          <w:trHeight w:val="33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Stupeň štúdia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</w:p>
        </w:tc>
      </w:tr>
      <w:tr w:rsidR="004D01A5" w:rsidRPr="004D01A5" w:rsidTr="004D01A5">
        <w:trPr>
          <w:trHeight w:val="33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 1. st.</w:t>
            </w: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2131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6755</w:t>
            </w:r>
          </w:p>
        </w:tc>
      </w:tr>
      <w:tr w:rsidR="004D01A5" w:rsidRPr="004D01A5" w:rsidTr="004D01A5">
        <w:trPr>
          <w:trHeight w:val="33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 2. st.</w:t>
            </w: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1894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4969</w:t>
            </w:r>
          </w:p>
        </w:tc>
      </w:tr>
      <w:tr w:rsidR="004D01A5" w:rsidRPr="004D01A5" w:rsidTr="004D01A5">
        <w:trPr>
          <w:trHeight w:val="33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 3. st.</w:t>
            </w: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177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444</w:t>
            </w:r>
          </w:p>
        </w:tc>
      </w:tr>
      <w:tr w:rsidR="004D01A5" w:rsidRPr="004D01A5" w:rsidTr="004D01A5">
        <w:trPr>
          <w:trHeight w:val="33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Spolu</w:t>
            </w:r>
            <w:r w:rsidRPr="004D01A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7966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4202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12168</w:t>
            </w:r>
          </w:p>
        </w:tc>
      </w:tr>
    </w:tbl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5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>Vývoj počtu zahraničných študentov v 1. a 2. stupni štúdia</w:t>
      </w:r>
    </w:p>
    <w:tbl>
      <w:tblPr>
        <w:tblW w:w="928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106"/>
        <w:gridCol w:w="1019"/>
        <w:gridCol w:w="1106"/>
        <w:gridCol w:w="525"/>
        <w:gridCol w:w="471"/>
        <w:gridCol w:w="428"/>
        <w:gridCol w:w="568"/>
        <w:gridCol w:w="508"/>
        <w:gridCol w:w="488"/>
        <w:gridCol w:w="581"/>
        <w:gridCol w:w="415"/>
      </w:tblGrid>
      <w:tr w:rsidR="004D01A5" w:rsidRPr="004D01A5" w:rsidTr="004D01A5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 pôvodu</w:t>
            </w:r>
          </w:p>
        </w:tc>
        <w:tc>
          <w:tcPr>
            <w:tcW w:w="6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Akademický rok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2005/2006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2006/2007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2007/2008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2008/2009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2009/2010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2010/2011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2011/2012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DŠ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DŠ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EŠ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DŠ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DŠ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EŠ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Česká republika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Palestína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Rumunsko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Srbsko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Čierna Hora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Ukrajina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Bulharsko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Francúzsko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Litva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Turecko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Nikaragua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Ruská federácia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Bielorusko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Bosna a Hercegovina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Macedónsko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Arménsko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Egypt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Britské Panenské ostrovy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Kazachstan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</w:t>
            </w:r>
          </w:p>
        </w:tc>
      </w:tr>
      <w:tr w:rsidR="004D01A5" w:rsidRPr="004D01A5" w:rsidTr="004D01A5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0"/>
          <w:szCs w:val="20"/>
          <w:lang w:eastAsia="sk-SK"/>
        </w:rPr>
        <w:t>Poznámka: zdroj informácií štatistické výkazy SV 11 k 31. 10. 2008, k 31. 10. 2009, k 30. 10. 2010 a k 31. 10. 2011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Príloha 6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Mobility </w:t>
      </w:r>
      <w:r w:rsidRPr="004D01A5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š</w:t>
      </w: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tudentov UMB v roku 2010/2011</w:t>
      </w:r>
    </w:p>
    <w:tbl>
      <w:tblPr>
        <w:tblpPr w:leftFromText="141" w:rightFromText="141" w:vertAnchor="text"/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1276"/>
        <w:gridCol w:w="1418"/>
        <w:gridCol w:w="2561"/>
      </w:tblGrid>
      <w:tr w:rsidR="004D01A5" w:rsidRPr="004D01A5" w:rsidTr="004D01A5">
        <w:trPr>
          <w:trHeight w:val="315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Fakulta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Fyzický počet vyslaných študentov</w:t>
            </w:r>
          </w:p>
        </w:tc>
        <w:tc>
          <w:tcPr>
            <w:tcW w:w="5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osobomesiacov vyslaných študentov</w:t>
            </w:r>
          </w:p>
        </w:tc>
      </w:tr>
      <w:tr w:rsidR="004D01A5" w:rsidRPr="004D01A5" w:rsidTr="004D01A5">
        <w:trPr>
          <w:trHeight w:val="645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Programy 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NŠP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(CEEPUS, NIL, ..)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FHV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FPVaMV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FPV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D01A5" w:rsidRPr="004D01A5" w:rsidTr="004D01A5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618,75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firstLine="36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</w:t>
            </w:r>
          </w:p>
        </w:tc>
      </w:tr>
    </w:tbl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Calibri" w:eastAsia="Calibri" w:hAnsi="Calibri" w:cs="Calibri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0"/>
          <w:szCs w:val="20"/>
          <w:lang w:eastAsia="sk-SK"/>
        </w:rPr>
        <w:t>Vysvetlivky: ES – Európske spoločenstvo, NŠP – Národný štipendijný program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7</w:t>
      </w:r>
    </w:p>
    <w:tbl>
      <w:tblPr>
        <w:tblW w:w="123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840"/>
        <w:gridCol w:w="743"/>
        <w:gridCol w:w="703"/>
        <w:gridCol w:w="440"/>
        <w:gridCol w:w="853"/>
        <w:gridCol w:w="557"/>
        <w:gridCol w:w="529"/>
        <w:gridCol w:w="1341"/>
        <w:gridCol w:w="1416"/>
        <w:gridCol w:w="160"/>
        <w:gridCol w:w="529"/>
        <w:gridCol w:w="1341"/>
        <w:gridCol w:w="1416"/>
      </w:tblGrid>
      <w:tr w:rsidR="004D01A5" w:rsidRPr="004D01A5" w:rsidTr="004D01A5">
        <w:trPr>
          <w:gridAfter w:val="4"/>
          <w:wAfter w:w="3446" w:type="dxa"/>
          <w:trHeight w:val="31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Grantové projekty UMB za obdobie: od 1. septembra 2010 do 30. júna 2012</w:t>
            </w:r>
          </w:p>
        </w:tc>
      </w:tr>
      <w:tr w:rsidR="004D01A5" w:rsidRPr="004D01A5" w:rsidTr="004D01A5">
        <w:trPr>
          <w:gridAfter w:val="4"/>
          <w:wAfter w:w="3446" w:type="dxa"/>
          <w:trHeight w:val="109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VEGA (počet)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KEGA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APVV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DG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DG - ostatné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RP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Ostatné (nevýskumné) zahraničné granty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Ostatné (nevýskumné) domáce granty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FHV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FPVaMV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FPV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666F1B" w:rsidP="0066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66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666F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66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666F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ISKŠ FHV*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66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IVKR FPV*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IMI FPV*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IEV EF*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UMB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UMB spolu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66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  <w:r w:rsidR="00666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01A5" w:rsidRPr="004D01A5" w:rsidRDefault="00666F1B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22</w:t>
            </w:r>
          </w:p>
        </w:tc>
      </w:tr>
      <w:tr w:rsidR="004D01A5" w:rsidRPr="004D01A5" w:rsidTr="004D01A5">
        <w:trPr>
          <w:gridAfter w:val="4"/>
          <w:wAfter w:w="3446" w:type="dxa"/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Poznámka: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01A5" w:rsidRPr="004D01A5" w:rsidTr="004D01A5">
        <w:trPr>
          <w:trHeight w:val="300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Inštitúty CVV UMB*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01A5" w:rsidRPr="004D01A5" w:rsidTr="004D01A5">
        <w:trPr>
          <w:trHeight w:val="30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ISKŠ FHV - Inštitút sociálnych a kultúrnych štúdií FHV, 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IVKR FPV - Inštitút výskumu krajiny a regiónov FPV, IMI FPV - Inštitút matematiky a informatiky FPV, IEV EF - Inštitút ekonomických vied EF 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CVV - Centrum vedy a výskum UMB vzniklo 1. marca 2011 po reorganizácii vedeckovýskumných inštitútov UMB, ktoré dovtedy boli súčasťou celouniverzitného pracoviska Ústav vedy a výskumu UMB. Inštitúty s výskumnými pracovníkmi sa stali organizačnou súčasťou jednotlivých fakúlt.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01A5" w:rsidRPr="004D01A5" w:rsidTr="004D01A5">
        <w:trPr>
          <w:gridAfter w:val="4"/>
          <w:wAfter w:w="3446" w:type="dxa"/>
          <w:trHeight w:val="85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8</w:t>
      </w:r>
    </w:p>
    <w:p w:rsidR="004D01A5" w:rsidRPr="004D01A5" w:rsidRDefault="004D01A5" w:rsidP="004D01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Spolupráca fakúlt s praxou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>Ekonomická fakulta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Spolupráca fakulty s praxou sa v roku 2010/2011 uskutočňovala s cieľom zvýšenia kvality a rozvoja procesu vzdelávania študentov a ich lepšej prípravy na podmienky praxe. Spolupráca sa realizoval</w:t>
      </w:r>
      <w:r w:rsidR="00D6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inštitúciami verejného a súkromného sektora. Fakulta spolupracovala spolu so 16 partnerskými inštitúciami na základe uzatvorenej a platnej zmluvy o spolupráci.  Predmet spolupráce so zameraním na rozvoj pedagogického procesu bol relatívne široký. Zahŕňal poskytovanie informácií pre spracovanie seminárnych, bakalárskych, diplomových</w:t>
      </w:r>
      <w:r w:rsidR="00D6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</w:t>
      </w:r>
      <w:r w:rsidR="00D6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 dizertačných prác študentov v rôznych oblastiach podľa zamerania študijných programov. Intenzívna bola spolupráca s externými inštitúciami prostredníctvom participácie ich zástupcov v pedagogickom procese</w:t>
      </w:r>
      <w:r w:rsidR="00D6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 už vo forme odborných prednášok, vedenia seminárov alebo účasťou na štátnych záverečných skúškach ako členovia komisií. V neposlednom rade partnerské inštitúcie umožnili organizáciu  exkurzií vo svojich priestoroch spojených s odbornou diskusiou študentov a zástupcov praxe zameranou na problematiku v závislosti od charakteru navštívenej inštitúcie.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ahoma" w:eastAsia="Times New Roman" w:hAnsi="Tahoma" w:cs="Tahoma"/>
          <w:color w:val="000000"/>
          <w:sz w:val="20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akademickom roku 2010/2011 boli uzatvorené nové zmluvy o spolupráci s Mestom Martin v oblasti poskytovania informácií pre potreby spracovania bakalárskych, diplomových a seminárnych prác študentov Ekonomickej fakulty UMB, so Železiarňami Podbrezová, ktoré umožnili odbornú prax pre dvoch študentov končiaceho roku štúdia v druhom stupni s cieľom získať podklady pre spracovanie diplomových prác a so Štatistickým úradom SR rovnako v oblasti sprístupnenia informácií pre potreby študentov a pedagógov.</w:t>
      </w:r>
      <w:r w:rsidRPr="004D01A5">
        <w:rPr>
          <w:rFonts w:ascii="Tahoma" w:eastAsia="Times New Roman" w:hAnsi="Tahoma" w:cs="Tahoma"/>
          <w:color w:val="000000"/>
          <w:sz w:val="20"/>
          <w:szCs w:val="24"/>
          <w:lang w:eastAsia="sk-SK"/>
        </w:rPr>
        <w:t xml:space="preserve">  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Rovnako ako v predošlých rokoch aj v tomto roku pracoviská fakulty spolupracovali s oveľa väčším počtom nezmluvných partnerov ako formou zmluvnej spolupráce. Nezmluvná spolupráca jednotlivých pracovísk sa uskutočňovala predovšetkým na báze osobných kontaktov zamestnancov a predmet spolupráce sa líšil podľa odborného zamerania pracovísk. 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externými inštitúciami sa uskutočnilo 6 súťaží (Hlava päta ČSOB, VUB Innovation Challenge, PWC DAY, KPMG Ace the Case, KPMG International Case Competition, Ernst and Young - Tax Challenge) pre študentov prvého a druhého stupňa štúdia zameraných na praktické využitie a prezentáciu ich odborných schopností. Na fakulte sa uskutočnilo viacero prezentácií o možnostiach študentov pracovať a študovať v zahraničí (v spolupráci so SAIA, DAAD, AIESEC, Precision Marketing Group). V roku 2011 na pôde fakulty vystúpili lektori z USA (prof. Horwitz, prof</w:t>
      </w:r>
      <w:r w:rsidR="00D61A0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Murphy) s prednáškou o aktuálnych problémoch svetovej ekonomiky (organizované v spolupráci s Konzervatívnym inštitútom M. R. Štefánika). O problematike zostreného bankového dohľadu prednášal guvernér Národnej banky Slovenska (Jozef Makúch). Predseda Ekonomického ústavu SAV (prof. Milan Šikula) prednášal na tému pripravovanej stratégie inteligentného a udržateľného rastu Európskej únie do roku 2020. Okrem uvedených prednášok mali študenti možnosť zúčastniť sa viacerých konferencií s medzinárodnou účasťou, ktoré sa orientovali na rozšírenie vedeckých poznatkov v rôznych oblastiach (dobrovoľníctvo, sociálne podnikanie, matematika, štatistika, cestovný ruch, národnosti a občianstvo v EÚ a ďalšie).   </w:t>
      </w: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Ekonomická fakulta UMB spolupracovala aj so zahraničnými spoločnosťami pri zabezpečovaní podmienok odbornej praxe študentov v Nemecku, Rakúsku a vo Švajčiarsku.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>Fakulta humanitných vied</w:t>
      </w:r>
    </w:p>
    <w:p w:rsidR="00D61A0C" w:rsidRDefault="00D61A0C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Fakulta spolupracuje</w:t>
      </w:r>
      <w:r w:rsidR="004D01A5"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pedagogických praxí so základnými a strednými školami predovšetkým v Banskej Bystrici, pri súvislých praxiach aj so školami na celom území SR.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Rozvíja tiež s</w:t>
      </w:r>
      <w:r w:rsidR="004D01A5"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poluprác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D01A5"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D01A5"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inštitúciami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4D01A5"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organizáciami športového charakteru pri realizácii trénerských praxí v športe: telovýchovné jednoty na UMB aj mimo UMB (napr. VŠC Dukla), Športové gymnázium Banská Bystrica, centrá voľného času. V rámci nepedagogických študijných programov je prax zaradená v študijných programoch aplikovaná etika, muzeológia, európske kultúrne štúdiá a prax vykonávajú aj študenti odboru prekladateľstvo a tlmočníctvo. 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Katedra histórie spolupracovala v rámci archeologického výskumu s Rímsko-katolickým farským úradom v Banskej Bystrici a Stredoslovenským múzeom v Banskej Bystrici pri realizácii odbornej praxe študentov muzeológie. </w:t>
      </w:r>
      <w:r w:rsidR="00D61A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lepšiu koordináciu spolupráce s praxou zriadila Katedra etiky a aplikovanej etiky oddelenie aplikovaných etík a etického poradenstva. Už tradične sa rozvíja spolupráca Fakulty humanitných vied so Štátnou vedeckou knižnicou v Banskej Bystrici, viaceré fakultné pracoviská úzko kooperujú s jazykovými študovňami knižnice. 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 xml:space="preserve">Fakulta politických vied a medzinárodných vzťahov </w:t>
      </w:r>
    </w:p>
    <w:p w:rsidR="004D01A5" w:rsidRPr="004D01A5" w:rsidRDefault="004D01A5" w:rsidP="004D01A5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Fakulta sa v akademickom roku 2010/2011 zamerala predovšetkým na týchto partnerov a aktivity: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zahraničných vecí SR sa priamo podieľalo na zabezpečovaní vyučovania 2 odborných predmetov, zabezpečilo: realizáciu prednášok pre študentov; účasť v komisiách pre štátne skúšky; realizáciu odbornej praxe študentov; organizáciu spoločných konferencií na domácej a medzinárodnej úrovni, poskytlo granty na riešenie konkrétnych odborných úloh, pôsobilo v rámci podujatí „public diplomacy“;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obrany SR:  realizovalo odborné praxe študentov, zabezpečilo organizáciu spoločných konferencií na domácej a medzinárodnej úrovni, poskytlo granty na riešenie konkrétnych odborných úloh, pôsobilo v rámci podujatí „public diplomacy“, realizovalo prednášky pre študentov;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SR a ostatné ministerstvá: realizovali odborné praxe študentov, zabezpečovali organizáciu spoločných konferencií na domácej a medzinárodnej úrovni, poskytovali granty na riešenie konkrétnych odborných úloh, pôsobili v rámci podujatí „public diplomacy“, realizovali prednášky pre študentov;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NR SR: zabezpečila realizáciu prednášok pre študentov a odbornú prax, pôsobila v rámci „public diplomacy“;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Zastúpenie Európskej komisie v SR: zabezpečilo organizáciu prednášok a odborných praxí študentov, zabezpečovalo organizáciu spoločných konferencií na domácej a medzinárodnej úrovni, pôsobilo v rámci podujatí „public diplomacy“;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bezpečnostný úrad SR: podieľal sa na realizáci</w:t>
      </w:r>
      <w:r w:rsidR="00D61A0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odborných praxí študentov;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Európsky parlament Strassbourg, Bruxelles: vytvoril podmienky pre realizáciu odborných praxí študentov a odborných exkurzií. </w:t>
      </w:r>
    </w:p>
    <w:p w:rsidR="004D01A5" w:rsidRPr="004D01A5" w:rsidRDefault="004D01A5" w:rsidP="00D61A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OSN Viedeň: umožnila pre študentov absolvovať odborné praxe a odborné exkurzie.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 xml:space="preserve">Fakulta prírodných vied </w:t>
      </w:r>
    </w:p>
    <w:p w:rsidR="004D01A5" w:rsidRPr="004D01A5" w:rsidRDefault="004D01A5" w:rsidP="004D01A5">
      <w:pPr>
        <w:spacing w:before="120" w:after="0" w:line="23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Fakulta spolupracuje so strednými školami, najmä ohľadne pedagogických praxí. Existuje spolupráca medzi inými školami a podnikmi, kde študenti buď vyučujú alebo im podniky vychádzajú v ústrety pri záverečných prácach, prípadne katedry inak spolupracujú s týmito podnikmi. Rovnako je výborná spolupráca s ostatnými univerzitami v Slovenskej, ale aj v Českej republike. Medzi najvýznamnejšie podniky a organizácie patria: 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Centrum pre chemické látky a prípravky Bratislava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Fakultná nemocnica s poliklinikou F. J. Roosevelta v Banskej Bystrici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Hvezdáreň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Kriminalistický ústav PZ SR v Slovenskej Ľupči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Múzeá v Banskej Bystrici, Košiciach, Lučenci, Svätom Antone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 lesnícke centrum Zvolen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Regionálny úrad verejného zdravotníctva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agentúra životného prostredia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Slovenský hydrometeorologický ústav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Štátna ochrana prírody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Topografický ústav Banská Bystrica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Ústavy SAV (botanický, zoologický, geofyzikálny, ekológie lesa, geologický, matematický, geografický, informatiky)</w:t>
      </w:r>
    </w:p>
    <w:p w:rsidR="004D01A5" w:rsidRPr="004D01A5" w:rsidRDefault="004D01A5" w:rsidP="004D01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Výskumný ústav pôdoznalectva a ochrany pôdy Banská Bystrica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>Pedagogická fakulta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všetkých študijných programov je aj praktická príprava. V akademickom roku 2010/2011 bolo celkové čerpanie finančných prostriedkov na pedagogické praxe 64 818,98 €.  Tento údaj sa odlišuje vo výkazoch popisujúcich finančné údaje o kalendárnom roku. Praxe sa realizovali podľa akreditovaných študijných programov hlavne priebežná prax, súvislá prax, pedagogické praktikum, terénna prax a klinická prax. Na zabezpečenie praxe študentov je podpísaných 1 166 dohôd o spolupráci so školami a inštitúciami (nie všetky sa aktuálne realizujú) a to 195 materských škôl, 684 základných škôl, 101 stredných škôl   a 186 výchovných a sociálnych inštitúcií a organizácií, kde sa realizujú praxe ako regulárna súčasť štúdia, avšak bez štátnych dotácií. V tejto súvislosti sa ukazuje zabezpečenie týchto praxí ako dosť problematické a odborné inštitúcie vyjadrujú opakovane požiadavku, aby mohli byť aj tieto formy spolupráce na príprave študentov nejakým spôsobom finančne oceňované.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1A5">
        <w:rPr>
          <w:rFonts w:ascii="Times New Roman" w:eastAsia="Times New Roman" w:hAnsi="Times New Roman" w:cs="Times New Roman"/>
          <w:b/>
          <w:lang w:eastAsia="sk-SK"/>
        </w:rPr>
        <w:t xml:space="preserve">Právnická fakulta </w:t>
      </w:r>
    </w:p>
    <w:p w:rsidR="004D01A5" w:rsidRPr="004D01A5" w:rsidRDefault="004D01A5" w:rsidP="004D01A5">
      <w:pPr>
        <w:spacing w:before="120" w:after="0" w:line="23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učebného programu právo nie je absolvovanie povinnej praxe. Študenti si individuálne zabezpečujú prax, ktorú odporúča vedenie fakulty. Individuálna prax sa vykonáva v inštitúciách, na ktorých študenti získavajú praktické informácie pre tvorbu bakalárskej a diplomovej práce. V hodnotenom období študenti praxovali na Katastrálnom úrade v Prievidzi, na Okresnej prokuratúre v Námestove a v advokátskej kancelárii na území Slovenska. Fakulta dlhodobo spolupracuje s Krajským riaditeľstvom Policajného zboru v Banskej Bystrici v oblasti trestného práva, kriminológie a kriminalistiky. Na základe spolupráce s KR PZ odchádzajú absolventi študijného odboru právo vykonávať štátnu službu v policajnom zbore ako vyšetrovatelia, prípadne ako poverení príslušníci PZ.</w:t>
      </w: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Príloha 9 </w:t>
      </w:r>
    </w:p>
    <w:p w:rsidR="004D01A5" w:rsidRPr="004D01A5" w:rsidRDefault="004D01A5" w:rsidP="004D01A5">
      <w:pPr>
        <w:tabs>
          <w:tab w:val="left" w:pos="360"/>
          <w:tab w:val="right" w:leader="dot" w:pos="900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Prienik medzi ESG a ISO 9001:2008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D01A5" w:rsidRPr="004D01A5" w:rsidTr="004D01A5">
        <w:tc>
          <w:tcPr>
            <w:tcW w:w="4503" w:type="dxa"/>
            <w:shd w:val="clear" w:color="auto" w:fill="FFCC99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ESG</w:t>
            </w:r>
          </w:p>
        </w:tc>
        <w:tc>
          <w:tcPr>
            <w:tcW w:w="4961" w:type="dxa"/>
            <w:shd w:val="clear" w:color="auto" w:fill="CCFFCC"/>
          </w:tcPr>
          <w:p w:rsidR="004D01A5" w:rsidRPr="004D01A5" w:rsidRDefault="004D01A5" w:rsidP="004D01A5">
            <w:pPr>
              <w:spacing w:before="120"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Norma ISO 9001:2008</w:t>
            </w: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Zásady a postupy zabezpečovania kvality - politika a postupy na zabezpečovanie kvality a štandardu študijných programov na udeľovanie akademických titulov.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 Záväzok manažmentu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Politika kvality</w:t>
            </w:r>
          </w:p>
          <w:p w:rsidR="004D01A5" w:rsidRPr="004D01A5" w:rsidRDefault="004D01A5" w:rsidP="004D01A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Schvaľovanie, monitorovanie a pravidelné hodnotenie študijných programov - formálne mechanizmy na schvaľovanie, pravidelné revízie a kontrolu študijných programov a udeľovanie akademických titulov; preverovanie a postupy na schvaľovanie, dostupnosť učebných zdrojov, tvorbu osnov a študijných plánov,  hodnotenie študijných programov.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 Zameranie sa na zákazníka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Plánovanie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5.4.1 Ciele kvality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5.4.2 Plánovanie SMK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7.1. Plánovanie realizácie produktu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7.2. Procesy týkajúce sa zákazníka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7.2.1 Určenie požiadaviek týkajúcich sa produktu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7.2.2 Preskúmanie požiadaviek týkajúcich sa produktu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8.2.3 Monitorovanie a meranie procesov</w:t>
            </w:r>
          </w:p>
          <w:p w:rsidR="004D01A5" w:rsidRPr="004D01A5" w:rsidRDefault="004D01A5" w:rsidP="004D01A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8.2.4 Monitorovanie a meranie produktu</w:t>
            </w: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študentov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dotýka sa hodnotenia študentov/zákazníkov, ich výkonov a pokroku.  Hodnotenie výkonu poskytuje informácie aj o efektivite výučby.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5.2. Zameranie sa na zákazníka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5.2.1 Spokojnosť zákazníka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8.2.3 Monitorovanie a meranie procesov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Zabezpečovanie kvality vysokoškolských učiteľov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zaoberá sa zabezpečením postupov na personálne zabezpečenie a vymenovacie konanie nových zamestnancov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hovorí o kompetentnosti učiteľov, ako aj o ich príprave a neustálom vzdelávaní, aby boli spôsobilí vykonávať pedagogickú činnosť.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 Poskytovanie zdrojov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 Ľudské zdroje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6.2.1 Všeobecne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</w:rPr>
              <w:t>6.2.2 Kompetentnosť, povedomie a príprava zamestnancov</w:t>
            </w:r>
          </w:p>
          <w:p w:rsidR="004D01A5" w:rsidRPr="004D01A5" w:rsidRDefault="004D01A5" w:rsidP="004D01A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Študijné zdroje a zdroje na podporu študentov - zabezpečenie zdrojov na podporu vzdelávania – prostriedky ako materiálne, technické, počítačové vybavenie, knižnice a študovne.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6.3. Infraštruktúra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 Pracovné prostredie</w:t>
            </w:r>
          </w:p>
          <w:p w:rsidR="004D01A5" w:rsidRPr="004D01A5" w:rsidRDefault="004D01A5" w:rsidP="004D01A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Informačné systémy -zhromažďovanie, analýza a používanie informácií pre efektívne riadenie študijných programov a ďalších aktivít; zbieranie informácií o spokojnosti študentov so študijnými programami.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8.2. Monitorovanie a meranie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8.2.1 Spokojnosť zákazníka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8.2.2 Interný audit</w:t>
            </w:r>
          </w:p>
          <w:p w:rsidR="004D01A5" w:rsidRPr="004D01A5" w:rsidRDefault="004D01A5" w:rsidP="004D0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8.4. Analýza údajov</w:t>
            </w:r>
          </w:p>
          <w:p w:rsidR="004D01A5" w:rsidRPr="004D01A5" w:rsidRDefault="004D01A5" w:rsidP="004D01A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01A5" w:rsidRPr="004D01A5" w:rsidTr="004D01A5">
        <w:tc>
          <w:tcPr>
            <w:tcW w:w="4503" w:type="dxa"/>
          </w:tcPr>
          <w:p w:rsidR="004D01A5" w:rsidRPr="004D01A5" w:rsidRDefault="004D01A5" w:rsidP="004D01A5">
            <w:pPr>
              <w:numPr>
                <w:ilvl w:val="1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Verejné informácie</w:t>
            </w:r>
          </w:p>
        </w:tc>
        <w:tc>
          <w:tcPr>
            <w:tcW w:w="4961" w:type="dxa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7.2.3. Komunikácia so zákazníkom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10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Úspešnosť uchádzačov o štúdium na prijímacom konaní 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Tabuľka 1 Prijímacie konanie na 1. stupeň štúdia v akademickom roku 2011/2012</w:t>
      </w: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30"/>
        <w:gridCol w:w="763"/>
        <w:gridCol w:w="634"/>
        <w:gridCol w:w="750"/>
        <w:gridCol w:w="630"/>
        <w:gridCol w:w="763"/>
        <w:gridCol w:w="634"/>
        <w:gridCol w:w="750"/>
        <w:gridCol w:w="661"/>
        <w:gridCol w:w="754"/>
        <w:gridCol w:w="581"/>
        <w:gridCol w:w="660"/>
      </w:tblGrid>
      <w:tr w:rsidR="004D01A5" w:rsidRPr="004D01A5" w:rsidTr="004D01A5">
        <w:trPr>
          <w:trHeight w:val="63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Fakulta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Plánovaný počet na prijatie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prihlásených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zúčastnených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prijatých uchádzačov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zapísaných</w:t>
            </w:r>
          </w:p>
        </w:tc>
      </w:tr>
      <w:tr w:rsidR="004D01A5" w:rsidRPr="004D01A5" w:rsidTr="004D01A5">
        <w:trPr>
          <w:trHeight w:val="27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17,68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FHV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896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33,07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FPVaMV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5,68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14,77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19,27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PrF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9,52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1445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1158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3036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1136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1976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733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2709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</w:tr>
      <w:tr w:rsidR="004D01A5" w:rsidRPr="004D01A5" w:rsidTr="004D01A5">
        <w:trPr>
          <w:trHeight w:val="255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3335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7840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6551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4172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2709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4D01A5" w:rsidRPr="004D01A5" w:rsidRDefault="004D01A5" w:rsidP="004D0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0"/>
          <w:lang w:eastAsia="sk-SK"/>
        </w:rPr>
        <w:t>V prvom stupni štúdia bolo z pôvodne plánovaného počtu uchádzačov 3335 (z toho 2175 v dennej forme štúdia a 1160 v externej forme štúdia) zapísaných spolu 2709 uchádzačov (z toho 1976 v dennej forme štúdia a 733 v externej forme štúdia), čo predstavuje 81,23 % podiel počtu zapísaných k počtu plánovaných uchádzačov.</w:t>
      </w: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Záujem uchádzačov v prvom stupni štúdia 2,35 krát prevýšil plánované kapacity na prijatie. Z pôvodne prihlásených uchádzačov o štúdium sa 83,56 % zúčastnilo prijímacieho konania. Fakulty prijali o 25,10 % uchádzačov viac ako pôvodne plánovali. Z počtu prijatých sa zapísalo 64,93 %, pritom v dennej forme štúdia sa zapísalo z počtu prijatých 65,09 % a v externej 64,52 %. 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Tabuľka 2 Prijímacie konanie na 2. stupeň štúdia v akademickom roku 2011/2012</w:t>
      </w: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30"/>
        <w:gridCol w:w="763"/>
        <w:gridCol w:w="634"/>
        <w:gridCol w:w="750"/>
        <w:gridCol w:w="630"/>
        <w:gridCol w:w="763"/>
        <w:gridCol w:w="634"/>
        <w:gridCol w:w="750"/>
        <w:gridCol w:w="661"/>
        <w:gridCol w:w="754"/>
        <w:gridCol w:w="581"/>
        <w:gridCol w:w="660"/>
      </w:tblGrid>
      <w:tr w:rsidR="004D01A5" w:rsidRPr="004D01A5" w:rsidTr="004D01A5">
        <w:trPr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Fakulta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Plánovaný počet na prijatie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prihlásených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zúčastnených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prijatých uchádzačov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zapísaných</w:t>
            </w:r>
          </w:p>
        </w:tc>
      </w:tr>
      <w:tr w:rsidR="004D01A5" w:rsidRPr="004D01A5" w:rsidTr="004D01A5">
        <w:trPr>
          <w:trHeight w:val="2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Denné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Externé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29,22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FHV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22,16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FPVaMV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5,94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FPV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10,37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21,53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10,79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1848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883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2392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3454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3406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3112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2862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2392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druhom stupni denného štúdia plánovali fakulty prijať 2099 študentov, v externej forme štúdia 1355 študentov. Prihlášku zaslalo 2030 uchádzačov o denné štúdium a v externej forme 1376 uchádzačov. Prijímacieho konania na denné štúdium sa zúčastnilo 1848 uchádzačov a na externé štúdium 1264 uchádzačov. Fakulty prijali spolu 2862 uchádzačov. Zapísalo sa spolu 2392 uchádzačov, čo je  70,23 % z prihlásených uchádzačov. V dennej forme štúdia dosiahol pomer zapísaných k počtu prihlásených 74,33 % a v externej forme 64,17 %. 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11</w:t>
      </w: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Podiel riadne skončených štúdií na celkovom počte začatých štúdií v danom akademickom roku k 30.09.2011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708"/>
        <w:gridCol w:w="709"/>
        <w:gridCol w:w="709"/>
        <w:gridCol w:w="709"/>
        <w:gridCol w:w="850"/>
        <w:gridCol w:w="709"/>
      </w:tblGrid>
      <w:tr w:rsidR="004D01A5" w:rsidRPr="004D01A5" w:rsidTr="004D01A5">
        <w:trPr>
          <w:trHeight w:val="70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Podskupina študijných odborov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Stupeň dosiahnutého vzdelania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Akademický rok začatia štúdia</w:t>
            </w:r>
          </w:p>
        </w:tc>
      </w:tr>
      <w:tr w:rsidR="004D01A5" w:rsidRPr="004D01A5" w:rsidTr="004D01A5">
        <w:trPr>
          <w:trHeight w:val="833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Forma štúdia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2010 / 2011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2009 / 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2008 / 2009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2007 / 2008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2006 / 2007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2005 / 2006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učiteľstvo, vychovávateľstvo a pedagogické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humanitné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spoločenské a behaviorálne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ekonómia a manažment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vedy o neživej prírode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68,63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vedy o neživej prírode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35,71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vedy o neživej prírode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vedy o neživej prírode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a environmentálne vedy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 a štatistika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informatické vedy, informačné a komunikačné technológie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informatické vedy, informačné a komunikačné technológie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informatické vedy, informačné a komunikačné technológie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informatické vedy, informačné a komunikačné technológie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D01A5" w:rsidRPr="004D01A5" w:rsidTr="004D01A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65,11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12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Úspešnosť v štúdiu</w:t>
      </w:r>
    </w:p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1 Počet predčasne ukončených a prerušených štúdií </w:t>
      </w: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akademickom roku 2010/2011 v 1. stupni štúdia</w:t>
      </w:r>
    </w:p>
    <w:tbl>
      <w:tblPr>
        <w:tblW w:w="860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60"/>
        <w:gridCol w:w="1040"/>
        <w:gridCol w:w="1143"/>
        <w:gridCol w:w="1098"/>
        <w:gridCol w:w="591"/>
        <w:gridCol w:w="828"/>
        <w:gridCol w:w="1070"/>
        <w:gridCol w:w="1314"/>
      </w:tblGrid>
      <w:tr w:rsidR="004D01A5" w:rsidRPr="004D01A5" w:rsidTr="004D01A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Fakulta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zrušených BŠ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prerušených BŠ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podiel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 toho v dennej BŠ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 podiel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podiel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 toho v dennej BŠ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 podiel</w:t>
            </w:r>
          </w:p>
        </w:tc>
      </w:tr>
      <w:tr w:rsidR="004D01A5" w:rsidRPr="004D01A5" w:rsidTr="004D01A5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EF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15,79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48,84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23,53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FHV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15,76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58,17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72,22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FPVaMV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62,50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66,67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FPV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17,40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73,45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10,55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65,22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31,25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PrF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11,22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19,48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2,48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17,65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13,75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56,84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41,67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sz w:val="24"/>
          <w:szCs w:val="20"/>
          <w:lang w:eastAsia="sk-SK"/>
        </w:rPr>
        <w:t>V priebehu akademického roka 2010/2011 štúdium prvého stupňa predčasne ukončilo (vylúčenie, zanechanie, ...) 929 študentov (13,75 %). Počet predčasne ukončených štúdií (929) k počtu novoprijatých do prvého stupňa štúdia (2 709), nás upozorňuje na nezvládnutie požiadaviek štúdia takmer 35 % prijímaných študentov ročne, ale aj na zvolený spôsob prijímania uchádzačov o štúdium. Oproti predchádzajúcemu akademickému roku došlo k poklesu o 9,38 % študentov, ktorí predčasne ukončili štúdium. Keďže k poklesu došlo aj v akademickom roku 2009/2010 môžeme tento fakt označiť ako pozitívny, vzhľadom na klesajúcu tendenciu. Najväčší podiel predčasne ukončených štúdií bol na Fakulte prírodných vied 17,40 % a najmenej na Fakulte politických vied a medzinárodných vzťahov 3,64 %. Prerušené štúdium malo 84 študentov, čo je 1,24 %. Najviac na Právnickej fakulte 2,48 % a najmenej  na Fakulte humanitných vied 0,93 %.</w:t>
      </w:r>
      <w:r w:rsidRPr="004D01A5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</w:t>
      </w: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2 Počet predčasne ukončených a prerušených štúdií </w:t>
      </w:r>
    </w:p>
    <w:p w:rsidR="004D01A5" w:rsidRPr="004D01A5" w:rsidRDefault="004D01A5" w:rsidP="004D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D0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akademickom roku 2010/2011 v 2. stupni štúdia</w:t>
      </w:r>
    </w:p>
    <w:tbl>
      <w:tblPr>
        <w:tblW w:w="853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46"/>
        <w:gridCol w:w="1037"/>
        <w:gridCol w:w="849"/>
        <w:gridCol w:w="1117"/>
        <w:gridCol w:w="734"/>
        <w:gridCol w:w="707"/>
        <w:gridCol w:w="1070"/>
        <w:gridCol w:w="1314"/>
      </w:tblGrid>
      <w:tr w:rsidR="004D01A5" w:rsidRPr="004D01A5" w:rsidTr="004D01A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Fakulta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zrušených MS/IŠ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prerušených MS/IŠ</w:t>
            </w:r>
          </w:p>
        </w:tc>
      </w:tr>
      <w:tr w:rsidR="004D01A5" w:rsidRPr="004D01A5" w:rsidTr="004D01A5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podiel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z toho 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v dennej </w:t>
            </w:r>
          </w:p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MS/IS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podiel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% </w:t>
            </w:r>
          </w:p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podiel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 toho v dennej MS/IS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% podiel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EF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39,47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FHV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31,58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44,44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FPVaMV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FPV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2,78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61,11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100,00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73,17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94,12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PrF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11,11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100,00</w:t>
            </w:r>
          </w:p>
        </w:tc>
      </w:tr>
      <w:tr w:rsidR="004D01A5" w:rsidRPr="004D01A5" w:rsidTr="004D01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46,74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0,89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01A5" w:rsidRPr="004D01A5" w:rsidRDefault="004D01A5" w:rsidP="004D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D0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77,27</w:t>
            </w:r>
          </w:p>
        </w:tc>
      </w:tr>
    </w:tbl>
    <w:p w:rsidR="004D01A5" w:rsidRPr="004D01A5" w:rsidRDefault="004D01A5" w:rsidP="004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835E48" w:rsidRDefault="004D01A5" w:rsidP="006728B5">
      <w:pPr>
        <w:spacing w:after="0" w:line="240" w:lineRule="auto"/>
        <w:ind w:firstLine="363"/>
        <w:jc w:val="both"/>
      </w:pPr>
      <w:r w:rsidRPr="004D01A5">
        <w:rPr>
          <w:rFonts w:ascii="Times New Roman" w:eastAsia="Times New Roman" w:hAnsi="Times New Roman" w:cs="Times New Roman"/>
          <w:sz w:val="24"/>
          <w:szCs w:val="20"/>
          <w:lang w:eastAsia="sk-SK"/>
        </w:rPr>
        <w:t>V akademickom roku 2010/2011 štúdium druhého stupňa predčasne ukončilo (vylúčenie, zanechanie, ...) 184 študentov (3,70 %). Najväčší podiel predčasne ukončených štúdií pripadá na Ekonomickú fakultu 5,31 % (76) a najnižší podiel má Fakulta politických vied a medzinárodných vzťahov 0,72 % (2). Prerušené štúdium malo 44 študentov, čo je 0,89 %. Najviac prerušení k počtu študentov druhého stupňa štúdia je na Fakulte politických vied a medzinárodných vzťahov 3,58 % (10 študentov) a najmenej  na Fakulte prírodných vied 0,15 % (1 študent).</w:t>
      </w:r>
      <w:r w:rsidRPr="004D01A5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</w:t>
      </w:r>
      <w:bookmarkStart w:id="0" w:name="_GoBack"/>
      <w:bookmarkEnd w:id="0"/>
    </w:p>
    <w:sectPr w:rsidR="00835E48" w:rsidSect="006728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2F4"/>
    <w:multiLevelType w:val="hybridMultilevel"/>
    <w:tmpl w:val="A0EC16B4"/>
    <w:lvl w:ilvl="0" w:tplc="BEEE4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A637F"/>
    <w:multiLevelType w:val="hybridMultilevel"/>
    <w:tmpl w:val="C11E0FC0"/>
    <w:lvl w:ilvl="0" w:tplc="4FFCD0D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4655F64"/>
    <w:multiLevelType w:val="hybridMultilevel"/>
    <w:tmpl w:val="2954F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B52"/>
    <w:multiLevelType w:val="multilevel"/>
    <w:tmpl w:val="8DE2B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456879"/>
    <w:multiLevelType w:val="hybridMultilevel"/>
    <w:tmpl w:val="F998F0B4"/>
    <w:lvl w:ilvl="0" w:tplc="D826CF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93EFE"/>
    <w:multiLevelType w:val="hybridMultilevel"/>
    <w:tmpl w:val="AB86C5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5A9A1F5C"/>
    <w:multiLevelType w:val="hybridMultilevel"/>
    <w:tmpl w:val="5930DBDC"/>
    <w:lvl w:ilvl="0" w:tplc="A342B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C65CF5"/>
    <w:multiLevelType w:val="multilevel"/>
    <w:tmpl w:val="CB2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5E0F3773"/>
    <w:multiLevelType w:val="hybridMultilevel"/>
    <w:tmpl w:val="E0CA2B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429"/>
    <w:multiLevelType w:val="hybridMultilevel"/>
    <w:tmpl w:val="9EC21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50513"/>
    <w:multiLevelType w:val="hybridMultilevel"/>
    <w:tmpl w:val="A9849E66"/>
    <w:lvl w:ilvl="0" w:tplc="39A625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85B8538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13DAA"/>
    <w:multiLevelType w:val="hybridMultilevel"/>
    <w:tmpl w:val="58AA0640"/>
    <w:lvl w:ilvl="0" w:tplc="C4AA69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09B8"/>
    <w:multiLevelType w:val="singleLevel"/>
    <w:tmpl w:val="A55C6D5C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3B71552"/>
    <w:multiLevelType w:val="multilevel"/>
    <w:tmpl w:val="CEF4FFD8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77392069"/>
    <w:multiLevelType w:val="multilevel"/>
    <w:tmpl w:val="98F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786D43F8"/>
    <w:multiLevelType w:val="hybridMultilevel"/>
    <w:tmpl w:val="62DCE9D2"/>
    <w:lvl w:ilvl="0" w:tplc="E702D0B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D97650A"/>
    <w:multiLevelType w:val="hybridMultilevel"/>
    <w:tmpl w:val="19B494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A"/>
    <w:rsid w:val="000B60A4"/>
    <w:rsid w:val="000C0280"/>
    <w:rsid w:val="00274298"/>
    <w:rsid w:val="004D01A5"/>
    <w:rsid w:val="00666F1B"/>
    <w:rsid w:val="006728B5"/>
    <w:rsid w:val="006D2947"/>
    <w:rsid w:val="00835E48"/>
    <w:rsid w:val="00A87B8B"/>
    <w:rsid w:val="00D61A0C"/>
    <w:rsid w:val="00E21463"/>
    <w:rsid w:val="00F05F19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D01A5"/>
    <w:pPr>
      <w:keepNext/>
      <w:numPr>
        <w:numId w:val="6"/>
      </w:numPr>
      <w:spacing w:before="120" w:after="0" w:line="23" w:lineRule="atLeast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1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numbering" w:customStyle="1" w:styleId="Bezzoznamu1">
    <w:name w:val="Bez zoznamu1"/>
    <w:next w:val="Bezzoznamu"/>
    <w:semiHidden/>
    <w:rsid w:val="004D01A5"/>
  </w:style>
  <w:style w:type="paragraph" w:styleId="Zkladntext">
    <w:name w:val="Body Text"/>
    <w:basedOn w:val="Normlny"/>
    <w:link w:val="ZkladntextChar"/>
    <w:rsid w:val="004D01A5"/>
    <w:pPr>
      <w:suppressAutoHyphens/>
      <w:spacing w:before="120" w:after="120" w:line="23" w:lineRule="atLeast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D0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VNormal">
    <w:name w:val="CV Normal"/>
    <w:basedOn w:val="Normlny"/>
    <w:rsid w:val="004D01A5"/>
    <w:pPr>
      <w:suppressAutoHyphens/>
      <w:spacing w:before="120" w:after="0" w:line="23" w:lineRule="atLeast"/>
      <w:ind w:left="113" w:right="113" w:firstLine="36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4D01A5"/>
    <w:pPr>
      <w:spacing w:before="120" w:after="60"/>
      <w:ind w:left="720" w:firstLine="363"/>
      <w:contextualSpacing/>
      <w:jc w:val="both"/>
    </w:pPr>
    <w:rPr>
      <w:rFonts w:ascii="Calibri" w:eastAsia="Calibri" w:hAnsi="Calibri" w:cs="Times New Roman"/>
      <w:sz w:val="24"/>
    </w:rPr>
  </w:style>
  <w:style w:type="paragraph" w:styleId="Textpoznmkypodiarou">
    <w:name w:val="footnote text"/>
    <w:basedOn w:val="Normlny"/>
    <w:link w:val="TextpoznmkypodiarouChar"/>
    <w:rsid w:val="004D01A5"/>
    <w:pPr>
      <w:spacing w:before="120" w:after="0" w:line="23" w:lineRule="atLeast"/>
      <w:ind w:firstLine="363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D01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4D01A5"/>
    <w:rPr>
      <w:vertAlign w:val="superscript"/>
    </w:rPr>
  </w:style>
  <w:style w:type="character" w:styleId="Odkaznakomentr">
    <w:name w:val="annotation reference"/>
    <w:rsid w:val="004D01A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D01A5"/>
    <w:pPr>
      <w:spacing w:before="120" w:after="0" w:line="23" w:lineRule="atLeast"/>
      <w:ind w:firstLine="363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4D01A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D01A5"/>
    <w:pPr>
      <w:spacing w:before="120" w:after="120" w:line="480" w:lineRule="auto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D0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4D01A5"/>
    <w:pPr>
      <w:spacing w:before="120" w:after="0" w:line="23" w:lineRule="atLeast"/>
      <w:ind w:firstLine="363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4D01A5"/>
    <w:rPr>
      <w:rFonts w:ascii="Tahoma" w:eastAsia="Times New Roman" w:hAnsi="Tahoma" w:cs="Tahoma"/>
      <w:sz w:val="16"/>
      <w:szCs w:val="16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4D01A5"/>
    <w:pPr>
      <w:spacing w:before="120" w:after="0" w:line="23" w:lineRule="atLeast"/>
      <w:ind w:left="708" w:hanging="63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zoznamucitci">
    <w:name w:val="toa heading"/>
    <w:basedOn w:val="Normlny"/>
    <w:next w:val="Normlny"/>
    <w:rsid w:val="004D01A5"/>
    <w:pPr>
      <w:widowControl w:val="0"/>
      <w:spacing w:before="120" w:after="0" w:line="23" w:lineRule="atLeast"/>
      <w:ind w:firstLine="363"/>
      <w:jc w:val="both"/>
    </w:pPr>
    <w:rPr>
      <w:rFonts w:ascii="Arial" w:eastAsia="Times New Roman" w:hAnsi="Arial" w:cs="Times New Roman"/>
      <w:b/>
      <w:sz w:val="20"/>
      <w:szCs w:val="20"/>
      <w:lang w:val="cs-CZ"/>
    </w:rPr>
  </w:style>
  <w:style w:type="paragraph" w:styleId="Register1">
    <w:name w:val="index 1"/>
    <w:basedOn w:val="Normlny"/>
    <w:next w:val="Normlny"/>
    <w:autoRedefine/>
    <w:rsid w:val="004D01A5"/>
    <w:pPr>
      <w:widowControl w:val="0"/>
      <w:spacing w:before="120" w:after="0" w:line="23" w:lineRule="atLeast"/>
      <w:ind w:left="459"/>
      <w:jc w:val="both"/>
    </w:pPr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4D01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D01A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4D01A5"/>
    <w:pPr>
      <w:spacing w:before="100" w:beforeAutospacing="1" w:after="100" w:afterAutospacing="1" w:line="23" w:lineRule="atLeast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D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D01A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947"/>
    <w:rPr>
      <w:color w:val="800080"/>
      <w:u w:val="single"/>
    </w:rPr>
  </w:style>
  <w:style w:type="paragraph" w:customStyle="1" w:styleId="xl63">
    <w:name w:val="xl6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4">
    <w:name w:val="xl6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5">
    <w:name w:val="xl6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7">
    <w:name w:val="xl67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4">
    <w:name w:val="xl7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6">
    <w:name w:val="xl7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7">
    <w:name w:val="xl77"/>
    <w:basedOn w:val="Normlny"/>
    <w:rsid w:val="006D29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80">
    <w:name w:val="xl80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6D2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6D2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6D29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3">
    <w:name w:val="xl11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4">
    <w:name w:val="xl11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15">
    <w:name w:val="xl11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6">
    <w:name w:val="xl116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17">
    <w:name w:val="xl117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8">
    <w:name w:val="xl11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9">
    <w:name w:val="xl11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0">
    <w:name w:val="xl12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22">
    <w:name w:val="xl12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23">
    <w:name w:val="xl12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4">
    <w:name w:val="xl12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5">
    <w:name w:val="xl125"/>
    <w:basedOn w:val="Normlny"/>
    <w:rsid w:val="006D29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6D29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8">
    <w:name w:val="xl12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6D29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0">
    <w:name w:val="xl130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1">
    <w:name w:val="xl13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2">
    <w:name w:val="xl13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3">
    <w:name w:val="xl13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4">
    <w:name w:val="xl13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6">
    <w:name w:val="xl136"/>
    <w:basedOn w:val="Normlny"/>
    <w:rsid w:val="006D294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7">
    <w:name w:val="xl137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40">
    <w:name w:val="xl14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D01A5"/>
    <w:pPr>
      <w:keepNext/>
      <w:numPr>
        <w:numId w:val="6"/>
      </w:numPr>
      <w:spacing w:before="120" w:after="0" w:line="23" w:lineRule="atLeast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1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numbering" w:customStyle="1" w:styleId="Bezzoznamu1">
    <w:name w:val="Bez zoznamu1"/>
    <w:next w:val="Bezzoznamu"/>
    <w:semiHidden/>
    <w:rsid w:val="004D01A5"/>
  </w:style>
  <w:style w:type="paragraph" w:styleId="Zkladntext">
    <w:name w:val="Body Text"/>
    <w:basedOn w:val="Normlny"/>
    <w:link w:val="ZkladntextChar"/>
    <w:rsid w:val="004D01A5"/>
    <w:pPr>
      <w:suppressAutoHyphens/>
      <w:spacing w:before="120" w:after="120" w:line="23" w:lineRule="atLeast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D0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VNormal">
    <w:name w:val="CV Normal"/>
    <w:basedOn w:val="Normlny"/>
    <w:rsid w:val="004D01A5"/>
    <w:pPr>
      <w:suppressAutoHyphens/>
      <w:spacing w:before="120" w:after="0" w:line="23" w:lineRule="atLeast"/>
      <w:ind w:left="113" w:right="113" w:firstLine="36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4D01A5"/>
    <w:pPr>
      <w:spacing w:before="120" w:after="60"/>
      <w:ind w:left="720" w:firstLine="363"/>
      <w:contextualSpacing/>
      <w:jc w:val="both"/>
    </w:pPr>
    <w:rPr>
      <w:rFonts w:ascii="Calibri" w:eastAsia="Calibri" w:hAnsi="Calibri" w:cs="Times New Roman"/>
      <w:sz w:val="24"/>
    </w:rPr>
  </w:style>
  <w:style w:type="paragraph" w:styleId="Textpoznmkypodiarou">
    <w:name w:val="footnote text"/>
    <w:basedOn w:val="Normlny"/>
    <w:link w:val="TextpoznmkypodiarouChar"/>
    <w:rsid w:val="004D01A5"/>
    <w:pPr>
      <w:spacing w:before="120" w:after="0" w:line="23" w:lineRule="atLeast"/>
      <w:ind w:firstLine="363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D01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4D01A5"/>
    <w:rPr>
      <w:vertAlign w:val="superscript"/>
    </w:rPr>
  </w:style>
  <w:style w:type="character" w:styleId="Odkaznakomentr">
    <w:name w:val="annotation reference"/>
    <w:rsid w:val="004D01A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D01A5"/>
    <w:pPr>
      <w:spacing w:before="120" w:after="0" w:line="23" w:lineRule="atLeast"/>
      <w:ind w:firstLine="363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4D01A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D01A5"/>
    <w:pPr>
      <w:spacing w:before="120" w:after="120" w:line="480" w:lineRule="auto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D0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4D01A5"/>
    <w:pPr>
      <w:spacing w:before="120" w:after="0" w:line="23" w:lineRule="atLeast"/>
      <w:ind w:firstLine="363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4D01A5"/>
    <w:rPr>
      <w:rFonts w:ascii="Tahoma" w:eastAsia="Times New Roman" w:hAnsi="Tahoma" w:cs="Tahoma"/>
      <w:sz w:val="16"/>
      <w:szCs w:val="16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4D01A5"/>
    <w:pPr>
      <w:spacing w:before="120" w:after="0" w:line="23" w:lineRule="atLeast"/>
      <w:ind w:left="708" w:hanging="63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zoznamucitci">
    <w:name w:val="toa heading"/>
    <w:basedOn w:val="Normlny"/>
    <w:next w:val="Normlny"/>
    <w:rsid w:val="004D01A5"/>
    <w:pPr>
      <w:widowControl w:val="0"/>
      <w:spacing w:before="120" w:after="0" w:line="23" w:lineRule="atLeast"/>
      <w:ind w:firstLine="363"/>
      <w:jc w:val="both"/>
    </w:pPr>
    <w:rPr>
      <w:rFonts w:ascii="Arial" w:eastAsia="Times New Roman" w:hAnsi="Arial" w:cs="Times New Roman"/>
      <w:b/>
      <w:sz w:val="20"/>
      <w:szCs w:val="20"/>
      <w:lang w:val="cs-CZ"/>
    </w:rPr>
  </w:style>
  <w:style w:type="paragraph" w:styleId="Register1">
    <w:name w:val="index 1"/>
    <w:basedOn w:val="Normlny"/>
    <w:next w:val="Normlny"/>
    <w:autoRedefine/>
    <w:rsid w:val="004D01A5"/>
    <w:pPr>
      <w:widowControl w:val="0"/>
      <w:spacing w:before="120" w:after="0" w:line="23" w:lineRule="atLeast"/>
      <w:ind w:left="459"/>
      <w:jc w:val="both"/>
    </w:pPr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4D01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D01A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4D01A5"/>
    <w:pPr>
      <w:spacing w:before="100" w:beforeAutospacing="1" w:after="100" w:afterAutospacing="1" w:line="23" w:lineRule="atLeast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D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D01A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947"/>
    <w:rPr>
      <w:color w:val="800080"/>
      <w:u w:val="single"/>
    </w:rPr>
  </w:style>
  <w:style w:type="paragraph" w:customStyle="1" w:styleId="xl63">
    <w:name w:val="xl6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4">
    <w:name w:val="xl6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5">
    <w:name w:val="xl6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sk-SK"/>
    </w:rPr>
  </w:style>
  <w:style w:type="paragraph" w:customStyle="1" w:styleId="xl67">
    <w:name w:val="xl67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4">
    <w:name w:val="xl7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6">
    <w:name w:val="xl7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7">
    <w:name w:val="xl77"/>
    <w:basedOn w:val="Normlny"/>
    <w:rsid w:val="006D29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80">
    <w:name w:val="xl80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6D2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6D2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6D29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6D29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3">
    <w:name w:val="xl113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4">
    <w:name w:val="xl11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15">
    <w:name w:val="xl115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6">
    <w:name w:val="xl116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17">
    <w:name w:val="xl117"/>
    <w:basedOn w:val="Normlny"/>
    <w:rsid w:val="006D29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8">
    <w:name w:val="xl11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19">
    <w:name w:val="xl11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0">
    <w:name w:val="xl12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22">
    <w:name w:val="xl12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23">
    <w:name w:val="xl12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4">
    <w:name w:val="xl12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25">
    <w:name w:val="xl125"/>
    <w:basedOn w:val="Normlny"/>
    <w:rsid w:val="006D29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6D29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8">
    <w:name w:val="xl12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6D29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0">
    <w:name w:val="xl130"/>
    <w:basedOn w:val="Normlny"/>
    <w:rsid w:val="006D2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1">
    <w:name w:val="xl13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2">
    <w:name w:val="xl132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3">
    <w:name w:val="xl133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4">
    <w:name w:val="xl134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136">
    <w:name w:val="xl136"/>
    <w:basedOn w:val="Normlny"/>
    <w:rsid w:val="006D294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37">
    <w:name w:val="xl137"/>
    <w:basedOn w:val="Normlny"/>
    <w:rsid w:val="006D2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40">
    <w:name w:val="xl140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6D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Babelova Katarina</dc:creator>
  <cp:keywords/>
  <dc:description/>
  <cp:lastModifiedBy>Babelova Katarina</cp:lastModifiedBy>
  <cp:revision>7</cp:revision>
  <dcterms:created xsi:type="dcterms:W3CDTF">2012-07-20T10:42:00Z</dcterms:created>
  <dcterms:modified xsi:type="dcterms:W3CDTF">2012-08-03T13:53:00Z</dcterms:modified>
</cp:coreProperties>
</file>