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43" w:rsidRDefault="00983943">
      <w:pPr>
        <w:jc w:val="center"/>
        <w:rPr>
          <w:rFonts w:ascii="Arial" w:hAnsi="Arial" w:cs="Arial"/>
          <w:b/>
          <w:bCs/>
          <w:sz w:val="28"/>
          <w:szCs w:val="28"/>
        </w:rPr>
      </w:pPr>
      <w:r>
        <w:rPr>
          <w:rFonts w:ascii="Arial" w:hAnsi="Arial" w:cs="Arial"/>
          <w:b/>
          <w:bCs/>
          <w:sz w:val="28"/>
          <w:szCs w:val="28"/>
        </w:rPr>
        <w:t>Univerzita Mateja Bela v Banskej Bystrici</w:t>
      </w:r>
    </w:p>
    <w:p w:rsidR="00983943" w:rsidRDefault="00983943">
      <w:pPr>
        <w:jc w:val="center"/>
        <w:rPr>
          <w:rFonts w:ascii="Arial" w:hAnsi="Arial" w:cs="Arial"/>
          <w:b/>
          <w:bCs/>
          <w:sz w:val="28"/>
          <w:szCs w:val="28"/>
        </w:rPr>
      </w:pPr>
      <w:r>
        <w:rPr>
          <w:rFonts w:ascii="Arial" w:hAnsi="Arial" w:cs="Arial"/>
          <w:b/>
          <w:bCs/>
          <w:sz w:val="28"/>
          <w:szCs w:val="28"/>
        </w:rPr>
        <w:t>Ekonomická fakulta</w:t>
      </w:r>
    </w:p>
    <w:p w:rsidR="00983943" w:rsidRDefault="00983943"/>
    <w:p w:rsidR="00983943" w:rsidRDefault="00983943">
      <w:pPr>
        <w:jc w:val="center"/>
        <w:rPr>
          <w:rFonts w:ascii="Arial" w:hAnsi="Arial" w:cs="Arial"/>
          <w:b/>
          <w:bCs/>
        </w:rPr>
      </w:pPr>
    </w:p>
    <w:p w:rsidR="00983943" w:rsidRDefault="00983943">
      <w:pPr>
        <w:jc w:val="center"/>
        <w:rPr>
          <w:rFonts w:ascii="Arial" w:hAnsi="Arial" w:cs="Arial"/>
          <w:b/>
          <w:bCs/>
          <w:i/>
          <w:iCs/>
          <w:caps/>
        </w:rPr>
      </w:pPr>
      <w:r>
        <w:rPr>
          <w:rFonts w:ascii="Arial" w:hAnsi="Arial" w:cs="Arial"/>
          <w:b/>
          <w:bCs/>
          <w:i/>
          <w:iCs/>
          <w:caps/>
        </w:rPr>
        <w:t>POSUDOK oponenta habilitačnej práce</w:t>
      </w:r>
    </w:p>
    <w:p w:rsidR="00983943" w:rsidRDefault="00983943">
      <w:pPr>
        <w:jc w:val="center"/>
        <w:rPr>
          <w:rFonts w:ascii="Arial" w:hAnsi="Arial" w:cs="Arial"/>
          <w:b/>
          <w:bCs/>
          <w:sz w:val="20"/>
          <w:szCs w:val="20"/>
        </w:rPr>
      </w:pPr>
    </w:p>
    <w:p w:rsidR="00983943" w:rsidRDefault="00983943">
      <w:pPr>
        <w:spacing w:line="360" w:lineRule="auto"/>
        <w:rPr>
          <w:rFonts w:ascii="Arial" w:hAnsi="Arial" w:cs="Arial"/>
          <w:sz w:val="20"/>
          <w:szCs w:val="20"/>
        </w:rPr>
      </w:pPr>
    </w:p>
    <w:p w:rsidR="00983943" w:rsidRDefault="00983943">
      <w:pPr>
        <w:tabs>
          <w:tab w:val="left" w:pos="2268"/>
        </w:tabs>
        <w:spacing w:line="360" w:lineRule="auto"/>
        <w:rPr>
          <w:rFonts w:ascii="Arial" w:hAnsi="Arial" w:cs="Arial"/>
          <w:b/>
          <w:bCs/>
          <w:sz w:val="20"/>
          <w:szCs w:val="20"/>
        </w:rPr>
      </w:pPr>
      <w:r>
        <w:rPr>
          <w:rFonts w:ascii="Arial" w:hAnsi="Arial" w:cs="Arial"/>
          <w:b/>
          <w:bCs/>
          <w:sz w:val="20"/>
          <w:szCs w:val="20"/>
        </w:rPr>
        <w:t>Téma:</w:t>
      </w:r>
      <w:r>
        <w:rPr>
          <w:rFonts w:ascii="Arial" w:hAnsi="Arial" w:cs="Arial"/>
          <w:b/>
          <w:bCs/>
          <w:sz w:val="20"/>
          <w:szCs w:val="20"/>
        </w:rPr>
        <w:tab/>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p>
    <w:p w:rsidR="00983943" w:rsidRDefault="00983943">
      <w:pPr>
        <w:tabs>
          <w:tab w:val="left" w:pos="2268"/>
        </w:tabs>
        <w:spacing w:line="360" w:lineRule="auto"/>
        <w:rPr>
          <w:rFonts w:ascii="Arial" w:hAnsi="Arial" w:cs="Arial"/>
          <w:sz w:val="20"/>
          <w:szCs w:val="20"/>
        </w:rPr>
      </w:pPr>
      <w:r>
        <w:rPr>
          <w:rFonts w:ascii="Arial" w:hAnsi="Arial" w:cs="Arial"/>
          <w:b/>
          <w:bCs/>
          <w:sz w:val="20"/>
          <w:szCs w:val="20"/>
        </w:rPr>
        <w:t>Posouzení potenciálu regionu pro vznik klastru“  (4E5B8031-EE5B-42E8-9DOD-59D4F2A63165)</w:t>
      </w:r>
      <w:r>
        <w:rPr>
          <w:rFonts w:ascii="Arial" w:hAnsi="Arial" w:cs="Arial"/>
          <w:b/>
          <w:bCs/>
          <w:sz w:val="20"/>
          <w:szCs w:val="20"/>
        </w:rPr>
        <w:fldChar w:fldCharType="end"/>
      </w:r>
    </w:p>
    <w:p w:rsidR="00983943" w:rsidRDefault="00983943">
      <w:pPr>
        <w:tabs>
          <w:tab w:val="left" w:pos="2268"/>
        </w:tabs>
        <w:spacing w:line="360" w:lineRule="auto"/>
        <w:rPr>
          <w:rFonts w:ascii="Arial" w:hAnsi="Arial" w:cs="Arial"/>
          <w:sz w:val="20"/>
          <w:szCs w:val="20"/>
        </w:rPr>
      </w:pPr>
      <w:r>
        <w:rPr>
          <w:rFonts w:ascii="Arial" w:hAnsi="Arial" w:cs="Arial"/>
          <w:b/>
          <w:bCs/>
          <w:sz w:val="20"/>
          <w:szCs w:val="20"/>
        </w:rPr>
        <w:t>Typ záverečnej práce:</w:t>
      </w:r>
      <w:r>
        <w:rPr>
          <w:rFonts w:ascii="Arial" w:hAnsi="Arial" w:cs="Arial"/>
          <w:b/>
          <w:bCs/>
          <w:sz w:val="20"/>
          <w:szCs w:val="20"/>
        </w:rPr>
        <w:tab/>
      </w:r>
      <w:r>
        <w:rPr>
          <w:rFonts w:ascii="Arial" w:hAnsi="Arial" w:cs="Arial"/>
          <w:sz w:val="20"/>
          <w:szCs w:val="20"/>
        </w:rPr>
        <w:t>Habilitačná práca</w:t>
      </w:r>
    </w:p>
    <w:p w:rsidR="00983943" w:rsidRDefault="00983943">
      <w:pPr>
        <w:tabs>
          <w:tab w:val="left" w:pos="2268"/>
        </w:tabs>
        <w:spacing w:line="360" w:lineRule="auto"/>
        <w:rPr>
          <w:rFonts w:ascii="Arial" w:hAnsi="Arial" w:cs="Arial"/>
          <w:b/>
          <w:bCs/>
          <w:sz w:val="20"/>
          <w:szCs w:val="20"/>
        </w:rPr>
      </w:pPr>
      <w:r>
        <w:rPr>
          <w:rFonts w:ascii="Arial" w:hAnsi="Arial" w:cs="Arial"/>
          <w:b/>
          <w:bCs/>
          <w:sz w:val="20"/>
          <w:szCs w:val="20"/>
        </w:rPr>
        <w:t>Študijný odbor:</w:t>
      </w:r>
      <w:r>
        <w:rPr>
          <w:rFonts w:ascii="Arial" w:hAnsi="Arial" w:cs="Arial"/>
          <w:b/>
          <w:bCs/>
          <w:sz w:val="20"/>
          <w:szCs w:val="20"/>
        </w:rPr>
        <w:tab/>
      </w:r>
      <w:bookmarkStart w:id="0" w:name="Text2"/>
      <w:r>
        <w:rPr>
          <w:rFonts w:ascii="Arial" w:hAnsi="Arial" w:cs="Arial"/>
          <w:b/>
          <w:bCs/>
          <w:sz w:val="20"/>
          <w:szCs w:val="20"/>
        </w:rPr>
        <w:fldChar w:fldCharType="begin">
          <w:ffData>
            <w:name w:val="Text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Veřejná ekonomika a služby</w:t>
      </w:r>
      <w:r>
        <w:rPr>
          <w:rFonts w:ascii="Arial" w:hAnsi="Arial" w:cs="Arial"/>
          <w:b/>
          <w:bCs/>
          <w:sz w:val="20"/>
          <w:szCs w:val="20"/>
        </w:rPr>
        <w:fldChar w:fldCharType="end"/>
      </w:r>
      <w:bookmarkEnd w:id="0"/>
    </w:p>
    <w:p w:rsidR="00983943" w:rsidRDefault="00983943">
      <w:pPr>
        <w:tabs>
          <w:tab w:val="left" w:pos="2268"/>
        </w:tabs>
        <w:spacing w:line="360" w:lineRule="auto"/>
        <w:rPr>
          <w:rFonts w:ascii="Arial" w:hAnsi="Arial" w:cs="Arial"/>
          <w:sz w:val="20"/>
          <w:szCs w:val="20"/>
        </w:rPr>
      </w:pPr>
      <w:r>
        <w:rPr>
          <w:rFonts w:ascii="Arial" w:hAnsi="Arial" w:cs="Arial"/>
          <w:b/>
          <w:bCs/>
          <w:sz w:val="20"/>
          <w:szCs w:val="20"/>
        </w:rPr>
        <w:t>Autor:</w:t>
      </w:r>
      <w:r>
        <w:rPr>
          <w:rFonts w:ascii="Arial" w:hAnsi="Arial" w:cs="Arial"/>
          <w:b/>
          <w:bCs/>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Ing. Jan Stejskal, Ph.D.</w:t>
      </w:r>
      <w:r>
        <w:rPr>
          <w:rFonts w:ascii="Arial" w:hAnsi="Arial" w:cs="Arial"/>
          <w:sz w:val="20"/>
          <w:szCs w:val="20"/>
        </w:rPr>
        <w:fldChar w:fldCharType="end"/>
      </w:r>
    </w:p>
    <w:p w:rsidR="00983943" w:rsidRDefault="00983943">
      <w:pPr>
        <w:tabs>
          <w:tab w:val="left" w:pos="2268"/>
        </w:tabs>
        <w:spacing w:line="360" w:lineRule="auto"/>
        <w:rPr>
          <w:rFonts w:ascii="Arial" w:hAnsi="Arial" w:cs="Arial"/>
          <w:sz w:val="20"/>
          <w:szCs w:val="20"/>
        </w:rPr>
      </w:pPr>
      <w:r>
        <w:rPr>
          <w:rFonts w:ascii="Arial" w:hAnsi="Arial" w:cs="Arial"/>
          <w:b/>
          <w:bCs/>
          <w:sz w:val="20"/>
          <w:szCs w:val="20"/>
        </w:rPr>
        <w:t>Oponent:</w:t>
      </w:r>
      <w:r>
        <w:rPr>
          <w:rFonts w:ascii="Arial" w:hAnsi="Arial" w:cs="Arial"/>
          <w:b/>
          <w:bCs/>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Prof. Ing. Jaroslav Macháček, CSc., Národohospodářská fakulta, Vysoká škola ekonomická v Praze</w:t>
      </w:r>
      <w:r>
        <w:rPr>
          <w:rFonts w:ascii="Arial" w:hAnsi="Arial" w:cs="Arial"/>
          <w:sz w:val="20"/>
          <w:szCs w:val="20"/>
        </w:rPr>
        <w:fldChar w:fldCharType="end"/>
      </w:r>
    </w:p>
    <w:p w:rsidR="00983943" w:rsidRDefault="00983943">
      <w:pPr>
        <w:jc w:val="center"/>
        <w:rPr>
          <w:rFonts w:ascii="Arial" w:hAnsi="Arial" w:cs="Arial"/>
          <w:b/>
          <w:bCs/>
          <w:sz w:val="20"/>
          <w:szCs w:val="20"/>
        </w:rPr>
      </w:pPr>
    </w:p>
    <w:p w:rsidR="00983943" w:rsidRDefault="00983943">
      <w:pPr>
        <w:jc w:val="center"/>
        <w:rPr>
          <w:rFonts w:ascii="Arial" w:hAnsi="Arial" w:cs="Arial"/>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942"/>
        <w:gridCol w:w="6346"/>
      </w:tblGrid>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Aktuálnosť zvolenej témy:</w:t>
            </w:r>
          </w:p>
        </w:tc>
        <w:bookmarkStart w:id="1" w:name="Text1"/>
        <w:tc>
          <w:tcPr>
            <w:tcW w:w="3416" w:type="pct"/>
          </w:tcPr>
          <w:p w:rsidR="00983943" w:rsidRDefault="00983943">
            <w:pPr>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xml:space="preserve">Oponovaná habilitační práce se zabývá tématikou, která se sice dostává stále více do popředí odborné pozornosti, nicméně analyticky pojatých prací, přinášejících poznatky, jež se přímo vztahují k regionálním podmínkám, spojeným s vytvářením klastrů, je bezesporu méně, než bychom očekávali vzhledem k významu dané problematiky. Na straně jedné vzrůstá potřeba efektivněji využívat prostředky pocházející z veřejných rozpočtů, na straně druhé není patrné, že by se nástroje regionální politiky, působící při vytváření klastrů, této potřebě dostatečně přizpůsobovaly. Oponovaná habilitační práce, s jejím předpokládaným následným využitím pro výzkumné i praktické účely, je se zřetelem na pociťovanou potřebu rozšiřování fondu poznatků v této oblasti nesporně přínosem. </w:t>
            </w:r>
          </w:p>
          <w:p w:rsidR="00983943" w:rsidRDefault="00983943">
            <w:pPr>
              <w:jc w:val="both"/>
              <w:rPr>
                <w:rFonts w:ascii="Arial" w:hAnsi="Arial" w:cs="Arial"/>
                <w:sz w:val="20"/>
                <w:szCs w:val="20"/>
              </w:rPr>
            </w:pPr>
            <w:r>
              <w:rPr>
                <w:rFonts w:ascii="Arial" w:hAnsi="Arial" w:cs="Arial"/>
                <w:sz w:val="20"/>
                <w:szCs w:val="20"/>
              </w:rPr>
              <w:fldChar w:fldCharType="end"/>
            </w:r>
            <w:bookmarkEnd w:id="1"/>
          </w:p>
        </w:tc>
      </w:tr>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Vhodnosť zvolených metód:</w:t>
            </w:r>
          </w:p>
        </w:tc>
        <w:tc>
          <w:tcPr>
            <w:tcW w:w="3416" w:type="pct"/>
          </w:tcPr>
          <w:p w:rsidR="00983943" w:rsidRDefault="00983943">
            <w:pPr>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xml:space="preserve">Posuzovaná studie, jež prozrazuje záměr zahrnout do zkoumání podstatné součásti dané problematiky způsobem, umožňujícím dospět k finálním poznatkům syntetické povahy, se opírá o předchozí autorovy publikační aktivity, především o publikované výsledky výzkumného projektu, podporovaného ze strany GAČR a realizovaného pod názvem „Metodika identifikace klastrů a průmyslových řetězců v České republice“.  S ohledem na toto pojetí možno konstatovat, že autorovi se podařilo tuto studii zpracovat do zcela koherentní podoby, vyznačující se novými kvalitami,  a že tudíž nejde o pouhé sloučení několika dříve prezentovaných materiálů. Samo uspořádání získaných poznatků do předkládané formy svědčí o dlouhodobé působnosti autora v dané vědní oblasti. </w:t>
            </w:r>
          </w:p>
          <w:p w:rsidR="00983943" w:rsidRDefault="00983943">
            <w:pPr>
              <w:jc w:val="both"/>
              <w:rPr>
                <w:rFonts w:ascii="Arial" w:hAnsi="Arial" w:cs="Arial"/>
                <w:sz w:val="20"/>
                <w:szCs w:val="20"/>
              </w:rPr>
            </w:pPr>
            <w:r>
              <w:rPr>
                <w:rFonts w:ascii="Arial" w:hAnsi="Arial" w:cs="Arial"/>
                <w:sz w:val="20"/>
                <w:szCs w:val="20"/>
              </w:rPr>
              <w:t xml:space="preserve">Práce je pojata způsobem, umožňujícím získat výsledky použitelné  v teorii  i  v praxi, a také pro účely výuky, případně i dalšího výzkumu..Její struktura je utvářena tak, aby vyhovovala tomuto záměru. Vyznačuje se vyvážeností,  pokud jde o její teoretické, metodologické, analytické a syntetické součásti. </w:t>
            </w:r>
          </w:p>
          <w:p w:rsidR="00983943" w:rsidRDefault="00983943">
            <w:pPr>
              <w:jc w:val="both"/>
              <w:rPr>
                <w:rFonts w:ascii="Arial" w:hAnsi="Arial" w:cs="Arial"/>
                <w:sz w:val="20"/>
                <w:szCs w:val="20"/>
              </w:rPr>
            </w:pPr>
            <w:r>
              <w:rPr>
                <w:rFonts w:ascii="Arial" w:hAnsi="Arial" w:cs="Arial"/>
                <w:sz w:val="20"/>
                <w:szCs w:val="20"/>
              </w:rPr>
              <w:t xml:space="preserve">Předpokladem zdařilého výzkumu je zhodnocení stavu poznání v dané oblasti. V posuzované práci je tento předpoklad splněn bezesporu dostatečně ve všech sledovaných problémových okruzích, jak je mimo jiné patrné i z přehledu použitých zdrojů. Tato skutečnost se příznivě odráží v kvalitě argumentace v klíčových úsecích studie. Dále je na místě připomenout, že v práci se nevyskytují popisné úseky, které by nebyly funkční z hlediska jejích analytických záměrů nebo byly jakkoliv redundantní. </w:t>
            </w:r>
          </w:p>
          <w:p w:rsidR="00983943" w:rsidRDefault="00983943">
            <w:pPr>
              <w:jc w:val="both"/>
              <w:rPr>
                <w:rFonts w:ascii="Arial" w:hAnsi="Arial" w:cs="Arial"/>
                <w:sz w:val="20"/>
                <w:szCs w:val="20"/>
              </w:rPr>
            </w:pPr>
            <w:r>
              <w:rPr>
                <w:rFonts w:ascii="Arial" w:hAnsi="Arial" w:cs="Arial"/>
                <w:sz w:val="20"/>
                <w:szCs w:val="20"/>
              </w:rPr>
              <w:t>Metody zkoumání a analytické postupy byly zvoleny adekvátně řešeným problémům, pozornost si zasluhuje kriteriální charakteristika pěti vybraných, pro záměr studie nejvýznamnějších metod na základě komparační analýzy. Využívané soubory údajů, obrázky a grafy  jsou začleněny přímo do textu, práce nemá přílohy. Po stylistické a formální stránce má práce velmi dobrou úroveň.</w:t>
            </w:r>
            <w:r>
              <w:rPr>
                <w:rFonts w:ascii="Arial" w:hAnsi="Arial" w:cs="Arial"/>
                <w:sz w:val="20"/>
                <w:szCs w:val="20"/>
              </w:rPr>
              <w:fldChar w:fldCharType="end"/>
            </w:r>
          </w:p>
        </w:tc>
      </w:tr>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Prínosy habilitačnej práce:</w:t>
            </w:r>
          </w:p>
        </w:tc>
        <w:tc>
          <w:tcPr>
            <w:tcW w:w="3416" w:type="pct"/>
          </w:tcPr>
          <w:p w:rsidR="00983943" w:rsidRDefault="00983943">
            <w:pPr>
              <w:jc w:val="both"/>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Souhrnným cílem práce, vymezeným v jejím úvodu, je „… navrhnout možnosti využití teorie klastrů v regionální politice.“, především vytvořením nové metody umožňující identifikaci a zhodnocení regionálního potenciálu, pokud jde o vznik klastrů. Zaměření práce vyplývá i ze čtyř cílů dílčích (str. 11), které jsou postupně naplňovány v jednotlivých částech studie. Realizace cíle hlavního je zřejmá ze šesté, závěrečné kapitoly i ze Závěru práce. Meritorní hypotézy a otázky jsou v práci objasňovány v širším prostorově ekonomickém kontextu. Její hlavní přínos nicméně spočívá v prohloubení znalostí, pokud jde o postupy, směřující k efektivnějšímu využívání zdrojů, určených pro podporu pozitivně chápaných změn ve struktuře regionální ekonomiky, představujících vznik klastrů. (Uskutečnění těchto změn souvisí i s otázkou endogenního růstu - např. AK model, která je v regionální ekonomii předmětem častých diskusí).</w:t>
            </w:r>
          </w:p>
          <w:p w:rsidR="00983943" w:rsidRDefault="00983943">
            <w:pPr>
              <w:jc w:val="both"/>
              <w:rPr>
                <w:rFonts w:ascii="Arial" w:hAnsi="Arial" w:cs="Arial"/>
                <w:noProof/>
                <w:sz w:val="20"/>
                <w:szCs w:val="20"/>
              </w:rPr>
            </w:pPr>
            <w:r>
              <w:rPr>
                <w:rFonts w:ascii="Arial" w:hAnsi="Arial" w:cs="Arial"/>
                <w:noProof/>
                <w:sz w:val="20"/>
                <w:szCs w:val="20"/>
              </w:rPr>
              <w:t xml:space="preserve">Autorův přístup vychází z průniku tří odborných oblastí, jež tvoří regionální politika, inovační procesy a veřejné finance, které jsou v příslušné analýze přítomny většinou implicitně. Regionální politika představuje velmi široký koncept, v rámci kterého není většinou nikterak obtížné vymezit a odůvodnit cíle, ale problém obvykle představují možnosti a způsoby dosahování těchto cílů. Zmíněný oborový průnik omezuje hledání těchto možností na využití inovačních systémů, podporu kreativního chování a budování znalostní základny. V této zúžené sféře možné působnosti regionální politiky má smysl posuzovat význam a účinnost konkrétních metod,  analytických  prostředků či modelů pro účely zkoumání  vhodných forem regionální politiky. </w:t>
            </w:r>
          </w:p>
          <w:p w:rsidR="00983943" w:rsidRDefault="00983943">
            <w:pPr>
              <w:jc w:val="both"/>
              <w:rPr>
                <w:rFonts w:ascii="Arial" w:hAnsi="Arial" w:cs="Arial"/>
                <w:noProof/>
                <w:sz w:val="20"/>
                <w:szCs w:val="20"/>
              </w:rPr>
            </w:pPr>
            <w:r>
              <w:rPr>
                <w:rFonts w:ascii="Arial" w:hAnsi="Arial" w:cs="Arial"/>
                <w:noProof/>
                <w:sz w:val="20"/>
                <w:szCs w:val="20"/>
              </w:rPr>
              <w:t>V první a druhé kapitola se autor zabývá přístupy ke koncipování regionální politiky. Hlavní pozornost věnuje hodnocení jejích nástrojů z hledisek, která souvisejí se záměry práce. Tato část kulminuje zpracováním vlastního přehledu a klasifikace nástrojů regionálního ekonomického rozvoje a posouzením možností podpory kreativní podstatou se vyznačujících prvků v regionální ekonomice,  prostřednictvím inovačních procesů a systémů. Na bázi vyhodnocení vlastností jejich hlavních součástí se autor ve třetí kapitole zabývá vývojem a možnostmi využití regionálních inovačních systémů ve prospěch územního klastrového uspořádání. Charakterizuje podmínky uplatnění vědy, výzkumu a vývoje v zájmu efektivního fungování regionální ekonomiky. Poznatky o chování inovačních systémů interpretuje rovněž ve vztahu k českým regionům – především těm, jež odpovídají rozměru NUTSIII.</w:t>
            </w:r>
          </w:p>
          <w:p w:rsidR="00983943" w:rsidRDefault="00983943">
            <w:pPr>
              <w:jc w:val="both"/>
              <w:rPr>
                <w:rFonts w:ascii="Arial" w:hAnsi="Arial" w:cs="Arial"/>
                <w:noProof/>
                <w:sz w:val="20"/>
                <w:szCs w:val="20"/>
              </w:rPr>
            </w:pPr>
            <w:r>
              <w:rPr>
                <w:rFonts w:ascii="Arial" w:hAnsi="Arial" w:cs="Arial"/>
                <w:noProof/>
                <w:sz w:val="20"/>
                <w:szCs w:val="20"/>
              </w:rPr>
              <w:t>Těžištěm práce jsou kapitoly 4 a 5, v nichž se autor nejprve soustřeďuje na součásti teorie klastrů, jež jsou pro jejich vznik a fungování v rámci regionální ekonomiky nejvíce podstatné. Přehledné vyjádření přínosů efektivně fungujících klastrů přesvědčivě vypovídá o účelnosti zkoumání dané tématiky. V části věnované identifikaci existujících i potenciálních klastrů, i odvětví vhodných pro jejich vznik, jsou na pozadí informační dostupnosti posouzeny konkrétní postupy a nástroje vhodné pro tento účel. V této souvislosti se rozlišují kvantitativní, kvalitativní, kombinované a některé další, do uvedených kategorií nezařazené metody.</w:t>
            </w:r>
          </w:p>
          <w:p w:rsidR="00983943" w:rsidRDefault="00983943">
            <w:pPr>
              <w:jc w:val="both"/>
              <w:rPr>
                <w:rFonts w:ascii="Arial" w:hAnsi="Arial" w:cs="Arial"/>
                <w:noProof/>
                <w:sz w:val="20"/>
                <w:szCs w:val="20"/>
              </w:rPr>
            </w:pPr>
            <w:r>
              <w:rPr>
                <w:rFonts w:ascii="Arial" w:hAnsi="Arial" w:cs="Arial"/>
                <w:noProof/>
                <w:sz w:val="20"/>
                <w:szCs w:val="20"/>
              </w:rPr>
              <w:t>Přehled metod je podle zmíněných skupin zpracován tak, aby srovnání jejich vlastností  přispělo k formování metodiky použitelné pro analýzu potenciálu vzniku klastrů. Velmi hodnotné jsou v této části, mimo jiné,  přizpůsobení aparátu PCA  pro zkoumání možností klastrového uspořádání, přehled dimenzí potenciálu, sloužící k identifikaci klastrů či poznatky plynoucí z komparativní analýzy, uspořádané do tabulkových přehledů podle pěti, pro daný účel nejvýznamnějších metod.</w:t>
            </w:r>
          </w:p>
          <w:p w:rsidR="00983943" w:rsidRDefault="00983943">
            <w:pPr>
              <w:jc w:val="both"/>
              <w:rPr>
                <w:rFonts w:ascii="Arial" w:hAnsi="Arial" w:cs="Arial"/>
                <w:noProof/>
                <w:sz w:val="20"/>
                <w:szCs w:val="20"/>
              </w:rPr>
            </w:pPr>
            <w:r>
              <w:rPr>
                <w:rFonts w:ascii="Arial" w:hAnsi="Arial" w:cs="Arial"/>
                <w:noProof/>
                <w:sz w:val="20"/>
                <w:szCs w:val="20"/>
              </w:rPr>
              <w:t>Návrh metodiky, jež je obsahem šesté, závěrečné kapitoly, představuje svého druhu syntézu poznatků, které přinášejí předchozí části práce. Tato metodika není koncipována do podoby „návodu“, nýbrž do formy souboru specifických, patřičně zdůvodněných kroků, vyznačujících se posloupností a návaznostmi. Aplikace navrhovaného postupu při reálném vytváření klastrů nepochybně přinese pozitivní efekty, především ve smyslu dosažení vyšší účinnosti zdrojů pro tento proces využívaných.</w:t>
            </w:r>
          </w:p>
          <w:p w:rsidR="00983943" w:rsidRDefault="00983943">
            <w:pPr>
              <w:jc w:val="both"/>
              <w:rPr>
                <w:rFonts w:ascii="Arial" w:hAnsi="Arial" w:cs="Arial"/>
                <w:noProof/>
                <w:sz w:val="20"/>
                <w:szCs w:val="20"/>
              </w:rPr>
            </w:pPr>
            <w:r>
              <w:rPr>
                <w:rFonts w:ascii="Arial" w:hAnsi="Arial" w:cs="Arial"/>
                <w:noProof/>
                <w:sz w:val="20"/>
                <w:szCs w:val="20"/>
              </w:rPr>
              <w:t>Práce bude nepochybně následně využívána pro další účely, proto doporučuji tyto drobné úpravy:</w:t>
            </w:r>
          </w:p>
          <w:p w:rsidR="00983943" w:rsidRDefault="00983943">
            <w:pPr>
              <w:jc w:val="both"/>
              <w:rPr>
                <w:rFonts w:ascii="Arial" w:hAnsi="Arial" w:cs="Arial"/>
                <w:noProof/>
                <w:sz w:val="20"/>
                <w:szCs w:val="20"/>
              </w:rPr>
            </w:pPr>
            <w:r>
              <w:rPr>
                <w:rFonts w:ascii="Arial" w:hAnsi="Arial" w:cs="Arial"/>
                <w:noProof/>
                <w:sz w:val="20"/>
                <w:szCs w:val="20"/>
              </w:rPr>
              <w:t>Vyřazení obr. 16, s odkazem - v navazujícím textovém úseku – na obr. 10 (str.113), který je s uvedeným totožný.</w:t>
            </w:r>
          </w:p>
          <w:p w:rsidR="00983943" w:rsidRDefault="00983943">
            <w:pPr>
              <w:jc w:val="both"/>
              <w:rPr>
                <w:rFonts w:ascii="Arial" w:hAnsi="Arial" w:cs="Arial"/>
                <w:noProof/>
                <w:sz w:val="20"/>
                <w:szCs w:val="20"/>
              </w:rPr>
            </w:pPr>
            <w:r>
              <w:rPr>
                <w:rFonts w:ascii="Arial" w:hAnsi="Arial" w:cs="Arial"/>
                <w:noProof/>
                <w:sz w:val="20"/>
                <w:szCs w:val="20"/>
              </w:rPr>
              <w:t>Stylizační úpravu posledního odstavce šesté kapitoly (nadbytečná spojka a).</w:t>
            </w:r>
          </w:p>
          <w:p w:rsidR="00983943" w:rsidRDefault="00983943">
            <w:pPr>
              <w:jc w:val="both"/>
              <w:rPr>
                <w:rFonts w:ascii="Arial" w:hAnsi="Arial" w:cs="Arial"/>
                <w:sz w:val="20"/>
                <w:szCs w:val="20"/>
              </w:rPr>
            </w:pPr>
            <w:r>
              <w:rPr>
                <w:rFonts w:ascii="Arial" w:hAnsi="Arial" w:cs="Arial"/>
                <w:noProof/>
                <w:sz w:val="20"/>
                <w:szCs w:val="20"/>
              </w:rPr>
              <w:t>Připojení seznamu zkratek.</w:t>
            </w:r>
            <w:r>
              <w:rPr>
                <w:rFonts w:ascii="Arial" w:hAnsi="Arial" w:cs="Arial"/>
                <w:sz w:val="20"/>
                <w:szCs w:val="20"/>
              </w:rPr>
              <w:fldChar w:fldCharType="end"/>
            </w:r>
          </w:p>
        </w:tc>
      </w:tr>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Zhodnotenie publikačnej, vedeckovýskumnej a pedagogickej činnosti habilitanta</w:t>
            </w:r>
          </w:p>
        </w:tc>
        <w:tc>
          <w:tcPr>
            <w:tcW w:w="3416" w:type="pct"/>
          </w:tcPr>
          <w:p w:rsidR="00983943" w:rsidRDefault="00983943">
            <w:pPr>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 zřetelem k relativně krátké době jeho profesního působení je publikační činnost habilitanta rozsáhlá. Zahrnuje řadu publikací vědecké povahy i v zahraničí publikované příspěvky. Je kompatibilní s oborem habilitace.Doporučuji, aby byla pro účely habilitačního řízení považována za zcela dostatečnou. Četnost, zaměření i výsledky vědeckovýzkumných projektů, které habilitant realizoval nebo na jejichž uskutečnění se podílel, stejně jako jeho pedagogické působení, opravňuje ke stejnému doporučení, jako je výše uvedené.</w:t>
            </w:r>
            <w:r>
              <w:rPr>
                <w:rFonts w:ascii="Arial" w:hAnsi="Arial" w:cs="Arial"/>
                <w:sz w:val="20"/>
                <w:szCs w:val="20"/>
              </w:rPr>
              <w:fldChar w:fldCharType="end"/>
            </w:r>
          </w:p>
        </w:tc>
      </w:tr>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Otázky pre autora pri obhajobe práce:</w:t>
            </w:r>
          </w:p>
        </w:tc>
        <w:tc>
          <w:tcPr>
            <w:tcW w:w="3416" w:type="pct"/>
          </w:tcPr>
          <w:p w:rsidR="00983943" w:rsidRDefault="00983943">
            <w:pPr>
              <w:jc w:val="both"/>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Objasnění konceptu ekonomického regionu s ohledem na možné vnější účastníky klastru.</w:t>
            </w:r>
          </w:p>
          <w:p w:rsidR="00983943" w:rsidRDefault="00983943">
            <w:pPr>
              <w:jc w:val="both"/>
              <w:rPr>
                <w:rFonts w:ascii="Arial" w:hAnsi="Arial" w:cs="Arial"/>
                <w:noProof/>
                <w:sz w:val="20"/>
                <w:szCs w:val="20"/>
              </w:rPr>
            </w:pPr>
            <w:r>
              <w:rPr>
                <w:rFonts w:ascii="Arial" w:hAnsi="Arial" w:cs="Arial"/>
                <w:noProof/>
                <w:sz w:val="20"/>
                <w:szCs w:val="20"/>
              </w:rPr>
              <w:t>Bližší charakteristika úlohy universit a vědeckovýzkumných institutcí v klastrech</w:t>
            </w:r>
          </w:p>
          <w:p w:rsidR="00983943" w:rsidRDefault="00983943">
            <w:pPr>
              <w:jc w:val="both"/>
              <w:rPr>
                <w:rFonts w:ascii="Arial" w:hAnsi="Arial" w:cs="Arial"/>
                <w:sz w:val="20"/>
                <w:szCs w:val="20"/>
              </w:rPr>
            </w:pPr>
            <w:r>
              <w:rPr>
                <w:rFonts w:ascii="Arial" w:hAnsi="Arial" w:cs="Arial"/>
                <w:sz w:val="20"/>
                <w:szCs w:val="20"/>
              </w:rPr>
              <w:t xml:space="preserve">Výskyt konkurenčních - vedle kooperačních - faktorů v rámci klastrů. </w:t>
            </w:r>
            <w:r>
              <w:rPr>
                <w:rFonts w:ascii="Arial" w:hAnsi="Arial" w:cs="Arial"/>
                <w:sz w:val="20"/>
                <w:szCs w:val="20"/>
              </w:rPr>
              <w:fldChar w:fldCharType="end"/>
            </w:r>
          </w:p>
        </w:tc>
      </w:tr>
      <w:tr w:rsidR="00983943">
        <w:tc>
          <w:tcPr>
            <w:tcW w:w="1584" w:type="pct"/>
          </w:tcPr>
          <w:p w:rsidR="00983943" w:rsidRDefault="00983943">
            <w:pPr>
              <w:pStyle w:val="Odstavecseseznamem1"/>
              <w:numPr>
                <w:ilvl w:val="0"/>
                <w:numId w:val="5"/>
              </w:numPr>
              <w:ind w:left="284" w:hanging="284"/>
              <w:rPr>
                <w:rFonts w:ascii="Arial" w:hAnsi="Arial" w:cs="Arial"/>
                <w:b/>
                <w:bCs/>
                <w:sz w:val="20"/>
                <w:szCs w:val="20"/>
              </w:rPr>
            </w:pPr>
            <w:r>
              <w:rPr>
                <w:rFonts w:ascii="Arial" w:hAnsi="Arial" w:cs="Arial"/>
                <w:b/>
                <w:bCs/>
                <w:sz w:val="20"/>
                <w:szCs w:val="20"/>
              </w:rPr>
              <w:t>Záverečné odporúčanie k návrhu udelenia vedecko-pedagogického titulu:</w:t>
            </w:r>
          </w:p>
        </w:tc>
        <w:tc>
          <w:tcPr>
            <w:tcW w:w="3416" w:type="pct"/>
          </w:tcPr>
          <w:p w:rsidR="00983943" w:rsidRDefault="00983943">
            <w:pPr>
              <w:jc w:val="both"/>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Z á v ě r   p o s u d k u :</w:t>
            </w:r>
          </w:p>
          <w:p w:rsidR="00983943" w:rsidRDefault="00983943">
            <w:pPr>
              <w:jc w:val="both"/>
              <w:rPr>
                <w:rFonts w:ascii="Arial" w:hAnsi="Arial" w:cs="Arial"/>
                <w:noProof/>
                <w:sz w:val="20"/>
                <w:szCs w:val="20"/>
              </w:rPr>
            </w:pPr>
            <w:r>
              <w:rPr>
                <w:rFonts w:ascii="Arial" w:hAnsi="Arial" w:cs="Arial"/>
                <w:noProof/>
                <w:sz w:val="20"/>
                <w:szCs w:val="20"/>
              </w:rPr>
              <w:tab/>
              <w:t xml:space="preserve">Hodnocená habilitační práce svědčí o značném zájmu autora o danou tematiku, o velkém objemu kvalitní práce, která byla v souvislosti se zkoumáním problematiky z jeho strany vynaložena, stejně jako o jeho schopnostech soustředit a zpracovat rozsáhlé podkladové materiály, analyticky a interpretačně je využít i postihovat příčinné souvislosti mezi zkoumanými jevy.  Významně obohacuje poznatkový fond sloužící příslušně zaměřenému výzkumu a je přínosem z hlediska prohlubování poznání v daných odborných oblastech. Splňuje požadavky kladené na tento typ prací.  </w:t>
            </w:r>
          </w:p>
          <w:p w:rsidR="00983943" w:rsidRDefault="00983943">
            <w:pPr>
              <w:jc w:val="both"/>
              <w:rPr>
                <w:rFonts w:ascii="Arial" w:hAnsi="Arial" w:cs="Arial"/>
                <w:sz w:val="20"/>
                <w:szCs w:val="20"/>
              </w:rPr>
            </w:pPr>
            <w:r>
              <w:rPr>
                <w:rFonts w:ascii="Arial" w:hAnsi="Arial" w:cs="Arial"/>
                <w:noProof/>
                <w:sz w:val="20"/>
                <w:szCs w:val="20"/>
              </w:rPr>
              <w:t>Doporučuji ji  k obhajobě před příslušnou komisí a v případě úspěšné ústní obhajoby navrhuji udělení titulu docent.</w:t>
            </w:r>
            <w:r>
              <w:rPr>
                <w:rFonts w:ascii="Arial" w:hAnsi="Arial" w:cs="Arial"/>
                <w:sz w:val="20"/>
                <w:szCs w:val="20"/>
              </w:rPr>
              <w:fldChar w:fldCharType="end"/>
            </w:r>
          </w:p>
        </w:tc>
      </w:tr>
    </w:tbl>
    <w:p w:rsidR="00983943" w:rsidRDefault="00983943"/>
    <w:p w:rsidR="00983943" w:rsidRDefault="00983943">
      <w:pPr>
        <w:rPr>
          <w:rFonts w:ascii="Arial" w:hAnsi="Arial" w:cs="Arial"/>
          <w:sz w:val="20"/>
          <w:szCs w:val="20"/>
        </w:rPr>
      </w:pPr>
    </w:p>
    <w:p w:rsidR="00983943" w:rsidRDefault="00983943">
      <w:pPr>
        <w:tabs>
          <w:tab w:val="right" w:pos="4536"/>
          <w:tab w:val="right" w:leader="dot" w:pos="7938"/>
        </w:tabs>
        <w:rPr>
          <w:rFonts w:ascii="Arial" w:hAnsi="Arial" w:cs="Arial"/>
          <w:sz w:val="20"/>
          <w:szCs w:val="20"/>
        </w:rPr>
      </w:pPr>
      <w:r>
        <w:rPr>
          <w:rFonts w:ascii="Arial" w:hAnsi="Arial" w:cs="Arial"/>
          <w:sz w:val="20"/>
          <w:szCs w:val="20"/>
        </w:rPr>
        <w:t>V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Praze</w:t>
      </w:r>
      <w:r>
        <w:rPr>
          <w:rFonts w:ascii="Arial" w:hAnsi="Arial" w:cs="Arial"/>
          <w:sz w:val="20"/>
          <w:szCs w:val="20"/>
        </w:rPr>
        <w:fldChar w:fldCharType="end"/>
      </w:r>
      <w:r>
        <w:rPr>
          <w:rFonts w:ascii="Arial" w:hAnsi="Arial" w:cs="Arial"/>
          <w:sz w:val="20"/>
          <w:szCs w:val="20"/>
        </w:rPr>
        <w:t xml:space="preserve">, dňa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3.10.2012</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rsidR="00983943" w:rsidRDefault="00983943">
      <w:pPr>
        <w:tabs>
          <w:tab w:val="center" w:pos="6237"/>
        </w:tabs>
        <w:rPr>
          <w:rFonts w:ascii="Arial" w:hAnsi="Arial" w:cs="Arial"/>
          <w:sz w:val="20"/>
          <w:szCs w:val="20"/>
        </w:rPr>
      </w:pPr>
      <w:r>
        <w:rPr>
          <w:rFonts w:ascii="Arial" w:hAnsi="Arial" w:cs="Arial"/>
          <w:sz w:val="20"/>
          <w:szCs w:val="20"/>
        </w:rPr>
        <w:tab/>
        <w:t>Podpis</w:t>
      </w:r>
    </w:p>
    <w:p w:rsidR="00983943" w:rsidRDefault="00983943">
      <w:pPr>
        <w:tabs>
          <w:tab w:val="right" w:leader="dot" w:pos="4536"/>
        </w:tabs>
        <w:rPr>
          <w:rFonts w:ascii="Arial" w:hAnsi="Arial" w:cs="Arial"/>
          <w:sz w:val="20"/>
          <w:szCs w:val="20"/>
        </w:rPr>
      </w:pPr>
    </w:p>
    <w:p w:rsidR="00983943" w:rsidRDefault="00983943">
      <w:pPr>
        <w:tabs>
          <w:tab w:val="right" w:leader="dot" w:pos="4536"/>
        </w:tabs>
        <w:rPr>
          <w:rFonts w:ascii="Arial" w:hAnsi="Arial" w:cs="Arial"/>
          <w:sz w:val="20"/>
          <w:szCs w:val="20"/>
        </w:rPr>
      </w:pPr>
    </w:p>
    <w:p w:rsidR="00983943" w:rsidRDefault="00983943">
      <w:pPr>
        <w:tabs>
          <w:tab w:val="right" w:leader="dot" w:pos="4536"/>
        </w:tabs>
        <w:rPr>
          <w:rFonts w:ascii="Arial" w:hAnsi="Arial" w:cs="Arial"/>
          <w:sz w:val="20"/>
          <w:szCs w:val="20"/>
        </w:rPr>
      </w:pPr>
    </w:p>
    <w:p w:rsidR="00983943" w:rsidRDefault="00983943">
      <w:pPr>
        <w:tabs>
          <w:tab w:val="right" w:leader="dot" w:pos="4536"/>
        </w:tabs>
        <w:rPr>
          <w:rFonts w:ascii="Arial" w:hAnsi="Arial" w:cs="Arial"/>
          <w:sz w:val="20"/>
          <w:szCs w:val="20"/>
        </w:rPr>
      </w:pPr>
    </w:p>
    <w:sectPr w:rsidR="00983943" w:rsidSect="009839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43" w:rsidRDefault="00983943">
      <w:r>
        <w:separator/>
      </w:r>
    </w:p>
  </w:endnote>
  <w:endnote w:type="continuationSeparator" w:id="1">
    <w:p w:rsidR="00983943" w:rsidRDefault="00983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43" w:rsidRDefault="00983943">
      <w:r>
        <w:separator/>
      </w:r>
    </w:p>
  </w:footnote>
  <w:footnote w:type="continuationSeparator" w:id="1">
    <w:p w:rsidR="00983943" w:rsidRDefault="00983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3EE7"/>
    <w:multiLevelType w:val="hybridMultilevel"/>
    <w:tmpl w:val="DB92008A"/>
    <w:lvl w:ilvl="0" w:tplc="041B000F">
      <w:start w:val="1"/>
      <w:numFmt w:val="decimal"/>
      <w:lvlText w:val="%1."/>
      <w:lvlJc w:val="left"/>
      <w:pPr>
        <w:ind w:left="720" w:hanging="360"/>
      </w:pPr>
      <w:rPr>
        <w:rFonts w:ascii="Times New Roman" w:hAnsi="Times New Roman"/>
      </w:rPr>
    </w:lvl>
    <w:lvl w:ilvl="1" w:tplc="041B0019">
      <w:start w:val="1"/>
      <w:numFmt w:val="lowerLetter"/>
      <w:lvlText w:val="%2."/>
      <w:lvlJc w:val="left"/>
      <w:pPr>
        <w:ind w:left="1440" w:hanging="360"/>
      </w:pPr>
      <w:rPr>
        <w:rFonts w:ascii="Times New Roman" w:hAnsi="Times New Roman"/>
      </w:rPr>
    </w:lvl>
    <w:lvl w:ilvl="2" w:tplc="041B001B">
      <w:start w:val="1"/>
      <w:numFmt w:val="lowerRoman"/>
      <w:lvlText w:val="%3."/>
      <w:lvlJc w:val="right"/>
      <w:pPr>
        <w:ind w:left="2160" w:hanging="180"/>
      </w:pPr>
      <w:rPr>
        <w:rFonts w:ascii="Times New Roman" w:hAnsi="Times New Roman"/>
      </w:rPr>
    </w:lvl>
    <w:lvl w:ilvl="3" w:tplc="041B000F">
      <w:start w:val="1"/>
      <w:numFmt w:val="decimal"/>
      <w:lvlText w:val="%4."/>
      <w:lvlJc w:val="left"/>
      <w:pPr>
        <w:ind w:left="2880" w:hanging="360"/>
      </w:pPr>
      <w:rPr>
        <w:rFonts w:ascii="Times New Roman" w:hAnsi="Times New Roman"/>
      </w:rPr>
    </w:lvl>
    <w:lvl w:ilvl="4" w:tplc="041B0019">
      <w:start w:val="1"/>
      <w:numFmt w:val="lowerLetter"/>
      <w:lvlText w:val="%5."/>
      <w:lvlJc w:val="left"/>
      <w:pPr>
        <w:ind w:left="3600" w:hanging="360"/>
      </w:pPr>
      <w:rPr>
        <w:rFonts w:ascii="Times New Roman" w:hAnsi="Times New Roman"/>
      </w:rPr>
    </w:lvl>
    <w:lvl w:ilvl="5" w:tplc="041B001B">
      <w:start w:val="1"/>
      <w:numFmt w:val="lowerRoman"/>
      <w:lvlText w:val="%6."/>
      <w:lvlJc w:val="right"/>
      <w:pPr>
        <w:ind w:left="4320" w:hanging="180"/>
      </w:pPr>
      <w:rPr>
        <w:rFonts w:ascii="Times New Roman" w:hAnsi="Times New Roman"/>
      </w:rPr>
    </w:lvl>
    <w:lvl w:ilvl="6" w:tplc="041B000F">
      <w:start w:val="1"/>
      <w:numFmt w:val="decimal"/>
      <w:lvlText w:val="%7."/>
      <w:lvlJc w:val="left"/>
      <w:pPr>
        <w:ind w:left="5040" w:hanging="360"/>
      </w:pPr>
      <w:rPr>
        <w:rFonts w:ascii="Times New Roman" w:hAnsi="Times New Roman"/>
      </w:rPr>
    </w:lvl>
    <w:lvl w:ilvl="7" w:tplc="041B0019">
      <w:start w:val="1"/>
      <w:numFmt w:val="lowerLetter"/>
      <w:lvlText w:val="%8."/>
      <w:lvlJc w:val="left"/>
      <w:pPr>
        <w:ind w:left="5760" w:hanging="360"/>
      </w:pPr>
      <w:rPr>
        <w:rFonts w:ascii="Times New Roman" w:hAnsi="Times New Roman"/>
      </w:rPr>
    </w:lvl>
    <w:lvl w:ilvl="8" w:tplc="041B001B">
      <w:start w:val="1"/>
      <w:numFmt w:val="lowerRoman"/>
      <w:lvlText w:val="%9."/>
      <w:lvlJc w:val="right"/>
      <w:pPr>
        <w:ind w:left="6480" w:hanging="180"/>
      </w:pPr>
      <w:rPr>
        <w:rFonts w:ascii="Times New Roman" w:hAnsi="Times New Roman"/>
      </w:rPr>
    </w:lvl>
  </w:abstractNum>
  <w:abstractNum w:abstractNumId="1">
    <w:nsid w:val="496B538C"/>
    <w:multiLevelType w:val="hybridMultilevel"/>
    <w:tmpl w:val="26447014"/>
    <w:lvl w:ilvl="0" w:tplc="041B000F">
      <w:start w:val="1"/>
      <w:numFmt w:val="decimal"/>
      <w:lvlText w:val="%1."/>
      <w:lvlJc w:val="left"/>
      <w:pPr>
        <w:tabs>
          <w:tab w:val="num" w:pos="720"/>
        </w:tabs>
        <w:ind w:left="720" w:hanging="360"/>
      </w:pPr>
      <w:rPr>
        <w:rFonts w:ascii="Times New Roman" w:hAnsi="Times New Roman"/>
      </w:rPr>
    </w:lvl>
    <w:lvl w:ilvl="1" w:tplc="041B0019">
      <w:start w:val="1"/>
      <w:numFmt w:val="decimal"/>
      <w:lvlText w:val="%2."/>
      <w:lvlJc w:val="left"/>
      <w:pPr>
        <w:tabs>
          <w:tab w:val="num" w:pos="1440"/>
        </w:tabs>
        <w:ind w:left="1440" w:hanging="360"/>
      </w:pPr>
      <w:rPr>
        <w:rFonts w:ascii="Times New Roman" w:hAnsi="Times New Roman"/>
      </w:rPr>
    </w:lvl>
    <w:lvl w:ilvl="2" w:tplc="041B001B">
      <w:start w:val="1"/>
      <w:numFmt w:val="decimal"/>
      <w:lvlText w:val="%3."/>
      <w:lvlJc w:val="left"/>
      <w:pPr>
        <w:tabs>
          <w:tab w:val="num" w:pos="2160"/>
        </w:tabs>
        <w:ind w:left="2160" w:hanging="360"/>
      </w:pPr>
      <w:rPr>
        <w:rFonts w:ascii="Times New Roman" w:hAnsi="Times New Roman"/>
      </w:rPr>
    </w:lvl>
    <w:lvl w:ilvl="3" w:tplc="041B000F">
      <w:start w:val="1"/>
      <w:numFmt w:val="decimal"/>
      <w:lvlText w:val="%4."/>
      <w:lvlJc w:val="left"/>
      <w:pPr>
        <w:tabs>
          <w:tab w:val="num" w:pos="2880"/>
        </w:tabs>
        <w:ind w:left="2880" w:hanging="360"/>
      </w:pPr>
      <w:rPr>
        <w:rFonts w:ascii="Times New Roman" w:hAnsi="Times New Roman"/>
      </w:rPr>
    </w:lvl>
    <w:lvl w:ilvl="4" w:tplc="041B0019">
      <w:start w:val="1"/>
      <w:numFmt w:val="decimal"/>
      <w:lvlText w:val="%5."/>
      <w:lvlJc w:val="left"/>
      <w:pPr>
        <w:tabs>
          <w:tab w:val="num" w:pos="3600"/>
        </w:tabs>
        <w:ind w:left="3600" w:hanging="360"/>
      </w:pPr>
      <w:rPr>
        <w:rFonts w:ascii="Times New Roman" w:hAnsi="Times New Roman"/>
      </w:rPr>
    </w:lvl>
    <w:lvl w:ilvl="5" w:tplc="041B001B">
      <w:start w:val="1"/>
      <w:numFmt w:val="decimal"/>
      <w:lvlText w:val="%6."/>
      <w:lvlJc w:val="left"/>
      <w:pPr>
        <w:tabs>
          <w:tab w:val="num" w:pos="4320"/>
        </w:tabs>
        <w:ind w:left="4320" w:hanging="360"/>
      </w:pPr>
      <w:rPr>
        <w:rFonts w:ascii="Times New Roman" w:hAnsi="Times New Roman"/>
      </w:rPr>
    </w:lvl>
    <w:lvl w:ilvl="6" w:tplc="041B000F">
      <w:start w:val="1"/>
      <w:numFmt w:val="decimal"/>
      <w:lvlText w:val="%7."/>
      <w:lvlJc w:val="left"/>
      <w:pPr>
        <w:tabs>
          <w:tab w:val="num" w:pos="5040"/>
        </w:tabs>
        <w:ind w:left="5040" w:hanging="360"/>
      </w:pPr>
      <w:rPr>
        <w:rFonts w:ascii="Times New Roman" w:hAnsi="Times New Roman"/>
      </w:rPr>
    </w:lvl>
    <w:lvl w:ilvl="7" w:tplc="041B0019">
      <w:start w:val="1"/>
      <w:numFmt w:val="decimal"/>
      <w:lvlText w:val="%8."/>
      <w:lvlJc w:val="left"/>
      <w:pPr>
        <w:tabs>
          <w:tab w:val="num" w:pos="5760"/>
        </w:tabs>
        <w:ind w:left="5760" w:hanging="360"/>
      </w:pPr>
      <w:rPr>
        <w:rFonts w:ascii="Times New Roman" w:hAnsi="Times New Roman"/>
      </w:rPr>
    </w:lvl>
    <w:lvl w:ilvl="8" w:tplc="041B001B">
      <w:start w:val="1"/>
      <w:numFmt w:val="decimal"/>
      <w:lvlText w:val="%9."/>
      <w:lvlJc w:val="left"/>
      <w:pPr>
        <w:tabs>
          <w:tab w:val="num" w:pos="6480"/>
        </w:tabs>
        <w:ind w:left="6480" w:hanging="360"/>
      </w:pPr>
      <w:rPr>
        <w:rFonts w:ascii="Times New Roman" w:hAnsi="Times New Roman"/>
      </w:rPr>
    </w:lvl>
  </w:abstractNum>
  <w:abstractNum w:abstractNumId="2">
    <w:nsid w:val="64AA1E81"/>
    <w:multiLevelType w:val="hybridMultilevel"/>
    <w:tmpl w:val="D2E66710"/>
    <w:lvl w:ilvl="0" w:tplc="041B000F">
      <w:start w:val="1"/>
      <w:numFmt w:val="decimal"/>
      <w:lvlText w:val="%1."/>
      <w:lvlJc w:val="left"/>
      <w:pPr>
        <w:ind w:left="720" w:hanging="360"/>
      </w:pPr>
      <w:rPr>
        <w:rFonts w:ascii="Times New Roman" w:hAnsi="Times New Roman"/>
      </w:rPr>
    </w:lvl>
    <w:lvl w:ilvl="1" w:tplc="041B0019">
      <w:start w:val="1"/>
      <w:numFmt w:val="lowerLetter"/>
      <w:lvlText w:val="%2."/>
      <w:lvlJc w:val="left"/>
      <w:pPr>
        <w:ind w:left="1440" w:hanging="360"/>
      </w:pPr>
      <w:rPr>
        <w:rFonts w:ascii="Times New Roman" w:hAnsi="Times New Roman"/>
      </w:rPr>
    </w:lvl>
    <w:lvl w:ilvl="2" w:tplc="041B001B">
      <w:start w:val="1"/>
      <w:numFmt w:val="lowerRoman"/>
      <w:lvlText w:val="%3."/>
      <w:lvlJc w:val="right"/>
      <w:pPr>
        <w:ind w:left="2160" w:hanging="180"/>
      </w:pPr>
      <w:rPr>
        <w:rFonts w:ascii="Times New Roman" w:hAnsi="Times New Roman"/>
      </w:rPr>
    </w:lvl>
    <w:lvl w:ilvl="3" w:tplc="041B000F">
      <w:start w:val="1"/>
      <w:numFmt w:val="decimal"/>
      <w:lvlText w:val="%4."/>
      <w:lvlJc w:val="left"/>
      <w:pPr>
        <w:ind w:left="2880" w:hanging="360"/>
      </w:pPr>
      <w:rPr>
        <w:rFonts w:ascii="Times New Roman" w:hAnsi="Times New Roman"/>
      </w:rPr>
    </w:lvl>
    <w:lvl w:ilvl="4" w:tplc="041B0019">
      <w:start w:val="1"/>
      <w:numFmt w:val="lowerLetter"/>
      <w:lvlText w:val="%5."/>
      <w:lvlJc w:val="left"/>
      <w:pPr>
        <w:ind w:left="3600" w:hanging="360"/>
      </w:pPr>
      <w:rPr>
        <w:rFonts w:ascii="Times New Roman" w:hAnsi="Times New Roman"/>
      </w:rPr>
    </w:lvl>
    <w:lvl w:ilvl="5" w:tplc="041B001B">
      <w:start w:val="1"/>
      <w:numFmt w:val="lowerRoman"/>
      <w:lvlText w:val="%6."/>
      <w:lvlJc w:val="right"/>
      <w:pPr>
        <w:ind w:left="4320" w:hanging="180"/>
      </w:pPr>
      <w:rPr>
        <w:rFonts w:ascii="Times New Roman" w:hAnsi="Times New Roman"/>
      </w:rPr>
    </w:lvl>
    <w:lvl w:ilvl="6" w:tplc="041B000F">
      <w:start w:val="1"/>
      <w:numFmt w:val="decimal"/>
      <w:lvlText w:val="%7."/>
      <w:lvlJc w:val="left"/>
      <w:pPr>
        <w:ind w:left="5040" w:hanging="360"/>
      </w:pPr>
      <w:rPr>
        <w:rFonts w:ascii="Times New Roman" w:hAnsi="Times New Roman"/>
      </w:rPr>
    </w:lvl>
    <w:lvl w:ilvl="7" w:tplc="041B0019">
      <w:start w:val="1"/>
      <w:numFmt w:val="lowerLetter"/>
      <w:lvlText w:val="%8."/>
      <w:lvlJc w:val="left"/>
      <w:pPr>
        <w:ind w:left="5760" w:hanging="360"/>
      </w:pPr>
      <w:rPr>
        <w:rFonts w:ascii="Times New Roman" w:hAnsi="Times New Roman"/>
      </w:rPr>
    </w:lvl>
    <w:lvl w:ilvl="8" w:tplc="041B001B">
      <w:start w:val="1"/>
      <w:numFmt w:val="lowerRoman"/>
      <w:lvlText w:val="%9."/>
      <w:lvlJc w:val="right"/>
      <w:pPr>
        <w:ind w:left="6480" w:hanging="180"/>
      </w:pPr>
      <w:rPr>
        <w:rFonts w:ascii="Times New Roman" w:hAnsi="Times New Roman"/>
      </w:rPr>
    </w:lvl>
  </w:abstractNum>
  <w:abstractNum w:abstractNumId="3">
    <w:nsid w:val="6C455229"/>
    <w:multiLevelType w:val="hybridMultilevel"/>
    <w:tmpl w:val="6066B616"/>
    <w:lvl w:ilvl="0" w:tplc="041B000F">
      <w:start w:val="1"/>
      <w:numFmt w:val="decimal"/>
      <w:lvlText w:val="%1."/>
      <w:lvlJc w:val="left"/>
      <w:pPr>
        <w:ind w:left="720" w:hanging="360"/>
      </w:pPr>
      <w:rPr>
        <w:rFonts w:ascii="Times New Roman" w:hAnsi="Times New Roman"/>
      </w:rPr>
    </w:lvl>
    <w:lvl w:ilvl="1" w:tplc="041B0019">
      <w:start w:val="1"/>
      <w:numFmt w:val="lowerLetter"/>
      <w:lvlText w:val="%2."/>
      <w:lvlJc w:val="left"/>
      <w:pPr>
        <w:ind w:left="1440" w:hanging="360"/>
      </w:pPr>
      <w:rPr>
        <w:rFonts w:ascii="Times New Roman" w:hAnsi="Times New Roman"/>
      </w:rPr>
    </w:lvl>
    <w:lvl w:ilvl="2" w:tplc="041B001B">
      <w:start w:val="1"/>
      <w:numFmt w:val="lowerRoman"/>
      <w:lvlText w:val="%3."/>
      <w:lvlJc w:val="right"/>
      <w:pPr>
        <w:ind w:left="2160" w:hanging="180"/>
      </w:pPr>
      <w:rPr>
        <w:rFonts w:ascii="Times New Roman" w:hAnsi="Times New Roman"/>
      </w:rPr>
    </w:lvl>
    <w:lvl w:ilvl="3" w:tplc="041B000F">
      <w:start w:val="1"/>
      <w:numFmt w:val="decimal"/>
      <w:lvlText w:val="%4."/>
      <w:lvlJc w:val="left"/>
      <w:pPr>
        <w:ind w:left="2880" w:hanging="360"/>
      </w:pPr>
      <w:rPr>
        <w:rFonts w:ascii="Times New Roman" w:hAnsi="Times New Roman"/>
      </w:rPr>
    </w:lvl>
    <w:lvl w:ilvl="4" w:tplc="041B0019">
      <w:start w:val="1"/>
      <w:numFmt w:val="lowerLetter"/>
      <w:lvlText w:val="%5."/>
      <w:lvlJc w:val="left"/>
      <w:pPr>
        <w:ind w:left="3600" w:hanging="360"/>
      </w:pPr>
      <w:rPr>
        <w:rFonts w:ascii="Times New Roman" w:hAnsi="Times New Roman"/>
      </w:rPr>
    </w:lvl>
    <w:lvl w:ilvl="5" w:tplc="041B001B">
      <w:start w:val="1"/>
      <w:numFmt w:val="lowerRoman"/>
      <w:lvlText w:val="%6."/>
      <w:lvlJc w:val="right"/>
      <w:pPr>
        <w:ind w:left="4320" w:hanging="180"/>
      </w:pPr>
      <w:rPr>
        <w:rFonts w:ascii="Times New Roman" w:hAnsi="Times New Roman"/>
      </w:rPr>
    </w:lvl>
    <w:lvl w:ilvl="6" w:tplc="041B000F">
      <w:start w:val="1"/>
      <w:numFmt w:val="decimal"/>
      <w:lvlText w:val="%7."/>
      <w:lvlJc w:val="left"/>
      <w:pPr>
        <w:ind w:left="5040" w:hanging="360"/>
      </w:pPr>
      <w:rPr>
        <w:rFonts w:ascii="Times New Roman" w:hAnsi="Times New Roman"/>
      </w:rPr>
    </w:lvl>
    <w:lvl w:ilvl="7" w:tplc="041B0019">
      <w:start w:val="1"/>
      <w:numFmt w:val="lowerLetter"/>
      <w:lvlText w:val="%8."/>
      <w:lvlJc w:val="left"/>
      <w:pPr>
        <w:ind w:left="5760" w:hanging="360"/>
      </w:pPr>
      <w:rPr>
        <w:rFonts w:ascii="Times New Roman" w:hAnsi="Times New Roman"/>
      </w:rPr>
    </w:lvl>
    <w:lvl w:ilvl="8" w:tplc="041B001B">
      <w:start w:val="1"/>
      <w:numFmt w:val="lowerRoman"/>
      <w:lvlText w:val="%9."/>
      <w:lvlJc w:val="right"/>
      <w:pPr>
        <w:ind w:left="6480" w:hanging="180"/>
      </w:pPr>
      <w:rPr>
        <w:rFonts w:ascii="Times New Roman" w:hAnsi="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284"/>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943"/>
    <w:rsid w:val="009839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sk-SK" w:eastAsia="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seseznamem1">
    <w:name w:val="Odstavec se seznamem1"/>
    <w:basedOn w:val="Normal"/>
    <w:uiPriority w:val="99"/>
    <w:pPr>
      <w:ind w:left="720"/>
    </w:p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sid w:val="00983943"/>
    <w:rPr>
      <w:rFonts w:ascii="Times New Roman" w:hAnsi="Times New Roman"/>
      <w:sz w:val="20"/>
      <w:szCs w:val="20"/>
      <w:lang w:val="sk-SK" w:eastAsia="sk-SK"/>
    </w:rPr>
  </w:style>
  <w:style w:type="character" w:customStyle="1" w:styleId="CharChar1">
    <w:name w:val="Char Char1"/>
    <w:basedOn w:val="DefaultParagraphFont"/>
    <w:uiPriority w:val="99"/>
    <w:rPr>
      <w:rFonts w:ascii="Times New Roman" w:hAnsi="Times New Roman" w:cs="Times New Roman"/>
      <w:sz w:val="20"/>
      <w:szCs w:val="20"/>
      <w:lang w:eastAsia="sk-SK"/>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983943"/>
    <w:rPr>
      <w:rFonts w:ascii="Times New Roman" w:hAnsi="Times New Roman"/>
      <w:sz w:val="20"/>
      <w:szCs w:val="20"/>
      <w:lang w:val="sk-SK" w:eastAsia="sk-SK"/>
    </w:rPr>
  </w:style>
  <w:style w:type="character" w:customStyle="1" w:styleId="CharChar">
    <w:name w:val="Char Char"/>
    <w:basedOn w:val="DefaultParagraphFont"/>
    <w:uiPriority w:val="99"/>
    <w:rPr>
      <w:rFonts w:ascii="Times New Roman" w:hAnsi="Times New Roman" w:cs="Times New Roman"/>
      <w:sz w:val="20"/>
      <w:szCs w:val="20"/>
      <w:lang w:eastAsia="sk-SK"/>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1371</Words>
  <Characters>7820</Characters>
  <Application>Microsoft Office Outlook</Application>
  <DocSecurity>0</DocSecurity>
  <Lines>0</Lines>
  <Paragraphs>0</Paragraphs>
  <ScaleCrop>false</ScaleCrop>
  <Company>EF-UMB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Mateja Bela v Banskej Bystrici</dc:title>
  <dc:subject/>
  <dc:creator>zrigova</dc:creator>
  <cp:keywords/>
  <dc:description/>
  <cp:lastModifiedBy>Roman</cp:lastModifiedBy>
  <cp:revision>4</cp:revision>
  <dcterms:created xsi:type="dcterms:W3CDTF">2012-10-07T19:31:00Z</dcterms:created>
  <dcterms:modified xsi:type="dcterms:W3CDTF">2012-10-07T20:31:00Z</dcterms:modified>
</cp:coreProperties>
</file>